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Notice of Motion for Transfer and Consolidation</w:t>
      </w:r>
    </w:p>
    <w:p>
      <w:r>
        <w:t>Transfer and Consolidation of Construction Cross-Claims — Milimani High Court — Commercial &amp; Tax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notice of motion for transfer and consolidation for transfer and consolidation of construction cross-claims in Nairobi? This page provides a reconstructed draft for Milimani High Court — Commercial &amp; Tax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Contractor seeking transfer.</w:t>
      </w:r>
    </w:p>
    <w:p>
      <w:r>
        <w:br w:type="page"/>
      </w:r>
    </w:p>
    <w:p>
      <w:pPr>
        <w:pStyle w:val="Heading1"/>
      </w:pPr>
      <w:r>
        <w:t>Reconstructed formal document</w:t>
      </w:r>
    </w:p>
    <w:p>
      <w:r>
        <w:t>REPUBLIC OF KENYA</w:t>
        <w:br/>
        <w:t>IN THE HIGH COURT OF KENYA AT NAIROBI</w:t>
        <w:br/>
        <w:t>COMMERCIAL AND TAX DIVISION</w:t>
        <w:br/>
        <w:t>CASE NO [number] OF [year]</w:t>
        <w:br/>
        <w:t>[Applicant] — APPLICANT</w:t>
        <w:br/>
        <w:t>VERSUS</w:t>
        <w:br/>
        <w:t>[Respondent] — RESPONDENT</w:t>
      </w:r>
    </w:p>
    <w:p>
      <w:r>
        <w:t>NOTICE OF MOTION FOR TRANSFER AND CONSOLIDATION</w:t>
      </w:r>
    </w:p>
    <w:p>
      <w:r>
        <w:t>1. NOTICE OF MOTION</w:t>
        <w:br/>
        <w:t>Under section 18 of the Civil Procedure Act and the applicable procedural provisions reviewed for this application.</w:t>
      </w:r>
    </w:p>
    <w:p>
      <w:r>
        <w:t>2. TAKE NOTICE that the Applicant will move the Court on [date fixed by the Court] for the following orders:</w:t>
      </w:r>
    </w:p>
    <w:p>
      <w:r>
        <w:t>3. Transfer [identified small claim] to the competent Chief Magistrate’s Court at Milimani; consolidate it with [identified related civil suit] subject to appropriate case-management directions; preserve unresolved arbitration objections; costs as directed.</w:t>
      </w:r>
    </w:p>
    <w:p>
      <w:r>
        <w:t>4. GROUNDS OF THE APPLICATION</w:t>
      </w:r>
    </w:p>
    <w:p>
      <w:r>
        <w:t>5. The commercial dispute concerned waterproofing works at an apartment development, including ancillary structures. The service provider pursued an invoice claim in the Small Claims Court.</w:t>
      </w:r>
    </w:p>
    <w:p>
      <w:r>
        <w:t>6. The contractor pursued a substantially larger claim concerning alleged defective works, remedial expenditure and related contractual amounts in the Chief Magistrate’s Court. Those allegations were contested and were not findings of defective workmanship.</w:t>
      </w:r>
    </w:p>
    <w:p>
      <w:r>
        <w:t>7. The proceedings arose from overlapping works and transaction documents, including an earlier contract and a later purchase order. The applicant sought transfer of the small claim to the magistrates’ court and consolidation with the related suit.</w:t>
      </w:r>
    </w:p>
    <w:p>
      <w:r>
        <w:t>8. An arbitration provision has been raised in opposition. The Applicant seeks coordinated case management without inviting a final determination of that objection through this transfer application; any properly raised arbitration issue is to be preserved for determination by the competent court.</w:t>
      </w:r>
    </w:p>
    <w:p>
      <w:r>
        <w:t>9. The accompanying supporting affidavit identifies the two proceedings, their stages, the common transaction documents and the issues requiring coordinated directions. No determination of contractual liability or arbitration validity is sought by the transfer itself.</w:t>
      </w:r>
    </w:p>
    <w:p>
      <w:r>
        <w:t>10. The Applicant proposes that the receiving court give directions on the lead file, pleadings, common evidence, reserved objections and costs so that neither party loses an opportunity to address the distinct claims.</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Small claim record: Identify invoice dispute and present procedural stage. Record to locate: Statement of claim, response and existing directions.</w:t>
      </w:r>
    </w:p>
    <w:p>
      <w:r>
        <w:t>Magistrates’ suit: Demonstrate overlap and that larger cross-claims cannot simply be inserted into SCC. Record to locate: Plaint, defence and relief claimed in the related proceeding.</w:t>
      </w:r>
    </w:p>
    <w:p>
      <w:r>
        <w:t>Works documents: Common factual questions and disputed contractual link. Record to locate: Contract, purchase order, scope and correspondence.</w:t>
      </w:r>
    </w:p>
    <w:p>
      <w:r>
        <w:t>Remedial records: Identify allegations to be tried, not declare liability already established. Record to locate: Actual inspection, repair and cost documents, if held.</w:t>
      </w:r>
    </w:p>
    <w:p>
      <w:r>
        <w:t>Arbitration terms: Preserve the unresolved forum issue without pretending it has been waived. Record to locate: Complete relevant agreement and objection documents.</w:t>
      </w:r>
    </w:p>
    <w:p>
      <w:r>
        <w:t>Do not file a multi-million-shilling counterclaim in the Small Claims Court on the strength of this sample. Verify receiving-court competence and avoid describing alleged construction defects as proved.</w:t>
      </w:r>
    </w:p>
    <w:p>
      <w:pPr>
        <w:pStyle w:val="Heading1"/>
      </w:pPr>
      <w:r>
        <w:t>What happened later — educational context only</w:t>
      </w:r>
    </w:p>
    <w:p>
      <w:r>
        <w:t>The High Court ordered transfer and consolidation. The substantive defect allegations and the arbitration issue were not finally determined by that procedural order.</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[2025] KEHC 12761 (KLR) — https://sheriahub.com/cases/ke/caselaw/jiangxi-water-and-hydropower-construction-kenya-limited-v-infolite-technologies-limited-2025-kehc-12761-klr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and Consolidation of Construction Cross-Claims: Notice of Motion for Transfer and Consolidation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