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Respondent’s Forum Suitability Submissions</w:t>
      </w:r>
    </w:p>
    <w:p>
      <w:r>
        <w:t>Export Flower Invoices With Agency and Set-Off Disputes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respondent’s forum suitability submissions for export flower invoices with agency and set-off disputes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Respondent company representative.</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RESPONDENT’S FORUM SUITABILITY SUBMISSIONS</w:t>
      </w:r>
    </w:p>
    <w:p>
      <w:r>
        <w:t>1. Filed for: [identify party and procedural capacity]</w:t>
        <w:br/>
        <w:t>Decision/application addressed: [identify the actual challenged order or pending issue]</w:t>
        <w:br/>
        <w:t>Relevant record: [bundle or appeal-record references].</w:t>
      </w:r>
    </w:p>
    <w:p>
      <w:r>
        <w:t>2. ISSUES AND SUBMISSIONS</w:t>
      </w:r>
    </w:p>
    <w:p>
      <w:r>
        <w:t>3. CHARACTERISATION COMES FIRST</w:t>
      </w:r>
    </w:p>
    <w:p>
      <w:r>
        <w:t>4. The asserted invoice debt cannot be treated as admitted merely because goods were shipped. The court must examine whether the respondent assumed a buyer’s obligation or accounted as an intermediary. The record passage relied on is [insert accurate bundle or proceedings references].</w:t>
      </w:r>
    </w:p>
    <w:p>
      <w:r>
        <w:t>5. NECESSARY ACCOUNTING</w:t>
      </w:r>
    </w:p>
    <w:p>
      <w:r>
        <w:t>6. The response identifies the account entries, charges and quality issues that require reconciliation. It does not present unsupported deductions as established debts or invent a quantified counterclaim. The record passage relied on is [insert accurate bundle or proceedings references].</w:t>
      </w:r>
    </w:p>
    <w:p>
      <w:r>
        <w:t>7. APPROPRIATE FORUM</w:t>
      </w:r>
    </w:p>
    <w:p>
      <w:r>
        <w:t>8. The decision considered complexity, the long course of dealing and absent overseas participants when finding this particular claim unsuitable for summary determination. This is a case-specific submission, not a universal exclusion of commercial invoices. The record passage relied on is [insert accurate bundle or proceedings references].</w:t>
      </w:r>
    </w:p>
    <w:p>
      <w:r>
        <w:t>9. NO MERITS SHORTCUT</w:t>
      </w:r>
    </w:p>
    <w:p>
      <w:r>
        <w:t>10. If the claim is struck out without prejudice, the respondent should not ask the court to declare the supplier’s debt extinguished. Any subsequent proceedings remain subject to their own jurisdiction, limitation and evidence requirements. The record passage relied on is [insert accurate bundle or proceedings references].</w:t>
      </w:r>
    </w:p>
    <w:p>
      <w:r>
        <w:t>11. PROCEDURAL POSITION</w:t>
        <w:br/>
        <w:t>The submission addresses the pleaded issue at this procedural stage. It does not amend the pleadings or turn disputed assertions into evidence.</w:t>
      </w:r>
    </w:p>
    <w:p>
      <w:r>
        <w:t>12. ORDERS REQUESTED</w:t>
        <w:br/>
        <w:t>Consider the suitability of determining this dispute in the summary forum; if unsuitable, strike out the claim without prejudice to proceedings in an appropriate court, with costs as the Court directs.</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Course of dealing: Whether respondent bought for itself or acted as intermediary. Record to locate: Available agreements and correspondence describing the parties’ roles.</w:t>
      </w:r>
    </w:p>
    <w:p>
      <w:r>
        <w:t>Consignment account: Transaction-level reconciliation rather than a single global balance. Record to locate: Invoices, shipping records and allocation of incoming payments.</w:t>
      </w:r>
    </w:p>
    <w:p>
      <w:r>
        <w:t>Quality communications: Existence and scope of the asserted dispute; no assumed finding of defect. Record to locate: Actual complaints and their transmission to the supplier.</w:t>
      </w:r>
    </w:p>
    <w:p>
      <w:r>
        <w:t>Charges and set-off: Identify what is disputed, the contractual basis and affected third parties. Record to locate: Contemporaneous agency fee terms and supported adjustment calculations.</w:t>
      </w:r>
    </w:p>
    <w:p>
      <w:r>
        <w:t>Do not present the source as a successful simple debt recovery claim. A proposed set-off needs its own contractual and evidential basis; an allegation of quality problems is not proof that the goods were defective.</w:t>
      </w:r>
    </w:p>
    <w:p>
      <w:pPr>
        <w:pStyle w:val="Heading1"/>
      </w:pPr>
      <w:r>
        <w:t>What happened later — educational context only</w:t>
      </w:r>
    </w:p>
    <w:p>
      <w:r>
        <w:t>The Small Claims Court struck out this claim as unsuitable for summary determination without prejudice. It did not award the disputed export debt or conclusively resolve the agency account.</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194 (KLR) — https://sheriahub.com/cases/ke/caselaw/primarosa-flowers-ltd-v-herany-flora-ltd-2026-scc-194-klr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Flower Invoices With Agency and Set-Off Disputes: Respondent’s Forum Suitability Submissions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