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Witness Statement</w:t>
      </w:r>
    </w:p>
    <w:p>
      <w:r>
        <w:t>Export Flower Invoices With Agency and Set-Off Disputes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witness statement for export flower invoices with agency and set-off disputes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Respondent company representative.</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WITNESS STATEMENT</w:t>
      </w:r>
    </w:p>
    <w:p>
      <w:r>
        <w:t>1. I, [witness name], of [address retained in the filed record], make this statement in my capacity as [actual role]. I identify below the matters I personally observed and the records I am competent to explain.</w:t>
      </w:r>
    </w:p>
    <w:p>
      <w:r>
        <w:t>2. My connection with the transaction is [state actual participation and, for a business witness, authority and record-keeping role]. I do not give evidence on behalf of a mechanic, police officer, bank or other participant about matters outside my personal knowledge.</w:t>
      </w:r>
    </w:p>
    <w:p>
      <w:r>
        <w:t>3. I identify our company’s role in the flower consignments from [agreements and communications]. My participation and responsibility for the account were [complete].</w:t>
      </w:r>
    </w:p>
    <w:p>
      <w:r>
        <w:t>4. Our position was that we acted as an intermediary for overseas customers. The communications recording that arrangement are [references].</w:t>
      </w:r>
    </w:p>
    <w:p>
      <w:r>
        <w:t>5. Quality complaints, agency charges and proposed adjustments were communicated in [records]. I distinguish complaints transmitted to us from matters I personally observed.</w:t>
      </w:r>
    </w:p>
    <w:p>
      <w:r>
        <w:t>6. I explain the shipments, incoming payments and adjustments within my knowledge at [schedule references]. Records requiring another custodian’s evidence are [identify].</w:t>
      </w:r>
    </w:p>
    <w:p>
      <w:r>
        <w:t>7. I identify the records I made, sent, received or maintained as [bundle page references and explanation of provenance]. For a record obtained from another person, the source and the basis on which I can speak to it are [complete from evidence].</w:t>
      </w:r>
    </w:p>
    <w:p>
      <w:r>
        <w:t>8. Payments and credits I can explain are [date, amount, channel and allocation]. Any difference between an initiated payment and a completed or reversed transfer is addressed expressly. I rely on the net account, without treating a later judicial award as part of the original transaction.</w:t>
      </w:r>
    </w:p>
    <w:p>
      <w:r>
        <w:t>9. The events I did not personally observe, and any matter requiring another witness, are [identify]. I have not adopted another participant’s observations as my own.</w:t>
      </w:r>
    </w:p>
    <w:p>
      <w:r>
        <w:t>I confirm that the completed statement reflects my knowledge and the identified records.</w:t>
        <w:br/>
        <w:t>Signed: [witness]</w:t>
        <w:br/>
        <w:t>Date: [date]</w:t>
        <w:br/>
        <w:t>[Apply any required statement of truth or registry attestation in the current prescribed form.]</w:t>
      </w:r>
    </w:p>
    <w:p>
      <w:r>
        <w:br w:type="page"/>
      </w:r>
    </w:p>
    <w:p>
      <w:pPr>
        <w:pStyle w:val="Heading1"/>
      </w:pPr>
      <w:r>
        <w:t>Evidence and adaptation checks</w:t>
      </w:r>
    </w:p>
    <w:p>
      <w:r>
        <w:t>Course of dealing: Whether respondent bought for itself or acted as intermediary. Record to locate: Available agreements and correspondence describing the parties’ roles.</w:t>
      </w:r>
    </w:p>
    <w:p>
      <w:r>
        <w:t>Consignment account: Transaction-level reconciliation rather than a single global balance. Record to locate: Invoices, shipping records and allocation of incoming payments.</w:t>
      </w:r>
    </w:p>
    <w:p>
      <w:r>
        <w:t>Quality communications: Existence and scope of the asserted dispute; no assumed finding of defect. Record to locate: Actual complaints and their transmission to the supplier.</w:t>
      </w:r>
    </w:p>
    <w:p>
      <w:r>
        <w:t>Charges and set-off: Identify what is disputed, the contractual basis and affected third parties. Record to locate: Contemporaneous agency fee terms and supported adjustment calculations.</w:t>
      </w:r>
    </w:p>
    <w:p>
      <w:r>
        <w:t>Do not present the source as a successful simple debt recovery claim. A proposed set-off needs its own contractual and evidential basis; an allegation of quality problems is not proof that the goods were defective.</w:t>
      </w:r>
    </w:p>
    <w:p>
      <w:pPr>
        <w:pStyle w:val="Heading1"/>
      </w:pPr>
      <w:r>
        <w:t>What happened later — educational context only</w:t>
      </w:r>
    </w:p>
    <w:p>
      <w:r>
        <w:t>The Small Claims Court struck out this claim as unsuitable for summary determination without prejudice. It did not award the disputed export debt or conclusively resolve the agency account.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194 (KLR) — https://sheriahub.com/cases/ke/caselaw/primarosa-flowers-ltd-v-herany-flora-ltd-2026-scc-194-klr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Flower Invoices With Agency and Set-Off Disputes: Witness Statement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