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Claimant’s Written Closing Submissions</w:t>
      </w:r>
    </w:p>
    <w:p>
      <w:r>
        <w:t>Unpaid Insurer-Authorised Garage Repairs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claimant’s written closing submissions for unpaid insurer-authorised garage repairs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Garage representative.</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CLAIMANT’S WRITTEN CLOSING SUBMISSIONS</w:t>
      </w:r>
    </w:p>
    <w:p>
      <w:r>
        <w:t>1. Filed for: [identify party and procedural capacity]</w:t>
        <w:br/>
        <w:t>Decision/application addressed: [identify the actual challenged order or pending issue]</w:t>
        <w:br/>
        <w:t>Relevant record: [bundle or appeal-record references].</w:t>
      </w:r>
    </w:p>
    <w:p>
      <w:r>
        <w:t>2. ISSUES AND SUBMISSIONS</w:t>
      </w:r>
    </w:p>
    <w:p>
      <w:r>
        <w:t>3. SOURCE OF LIABILITY</w:t>
      </w:r>
    </w:p>
    <w:p>
      <w:r>
        <w:t>4. The claim rests on the insurer’s authority to the garage and the related payment undertaking. The satisfaction and release documents must be connected to the conditions in that undertaking. The record passage relied on is [insert accurate bundle or proceedings references].</w:t>
      </w:r>
    </w:p>
    <w:p>
      <w:r>
        <w:t>5. EVIDENCE, NOT DEFAULT RHETORIC</w:t>
      </w:r>
    </w:p>
    <w:p>
      <w:r>
        <w:t>6. A blanket denial does not replace transaction evidence, but the claimant must still establish the debt on the balance of probabilities. Sections 107–109 of the Evidence Act were applied to the authorisation and completion records. The record passage relied on is [insert accurate bundle or proceedings references].</w:t>
      </w:r>
    </w:p>
    <w:p>
      <w:r>
        <w:t>7. WRITTEN DETERMINATION</w:t>
      </w:r>
    </w:p>
    <w:p>
      <w:r>
        <w:t>8. Section 30 of the Small Claims Court Act was used for determination on the written material. A party may request that course, but the court must control the procedure and both parties must have a proper opportunity to present their material. The record passage relied on is [insert accurate bundle or proceedings references].</w:t>
      </w:r>
    </w:p>
    <w:p>
      <w:r>
        <w:t>9. CALCULATION AND RELIEF</w:t>
      </w:r>
    </w:p>
    <w:p>
      <w:r>
        <w:t>10. The invoice, demand and credits should produce one net principal. Interest and costs are sought as the court permits, without copying a later award of costs into the original debt. The record passage relied on is [insert accurate bundle or proceedings references].</w:t>
      </w:r>
    </w:p>
    <w:p>
      <w:r>
        <w:t>11. PROCEDURAL POSITION</w:t>
        <w:br/>
        <w:t>The submission addresses the pleaded issue at this procedural stage. It does not amend the pleadings or turn disputed assertions into evidence.</w:t>
      </w:r>
    </w:p>
    <w:p>
      <w:r>
        <w:t>12. ORDERS REQUESTED</w:t>
        <w:br/>
        <w:t>Judgment for KSh [verified unpaid invoice balance], lawful interest as determined by the Court, and assessed costs.</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Repair authority: Contractual authority and recipient of the payment obligation. Record to locate: Insurer’s authorisation letter, with its payment conditions.</w:t>
      </w:r>
    </w:p>
    <w:p>
      <w:r>
        <w:t>Invoice and work records: Scope of authorised work and charge claimed. Record to locate: Repair invoice and available completion records.</w:t>
      </w:r>
    </w:p>
    <w:p>
      <w:r>
        <w:t>Completion and delivery: Completion conditions and commencement of payment period. Record to locate: Satisfaction note, release record and evidence of delivery to insurer.</w:t>
      </w:r>
    </w:p>
    <w:p>
      <w:r>
        <w:t>Demand and account: Outstanding balance and payment request. Record to locate: Demand, delivery proof and credits ledger.</w:t>
      </w:r>
    </w:p>
    <w:p>
      <w:r>
        <w:t>The judgment’s references to the authority date are not fully consistent. Use the actual letter rather than choosing a date from the narrative. Do not turn this into a third-party accident compensation claim.</w:t>
      </w:r>
    </w:p>
    <w:p>
      <w:pPr>
        <w:pStyle w:val="Heading1"/>
      </w:pPr>
      <w:r>
        <w:t>What happened later — educational context only</w:t>
      </w:r>
    </w:p>
    <w:p>
      <w:r>
        <w:t>The garage obtained an award for the repair invoice. The decision turned on the authority and completion records, with the insurer providing no evidential answer to the established debt.</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49 (KLR) — https://sheriahub.com/cases/ke/caselaw/ruaraka-auto-garage-v-directline-assurance-company-ltd-2026-scc-49-klr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Insurer-Authorised Garage Repairs: Claimant’s Written Closing Submissions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