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List of Documents and Issue-to-Evidence Schedule</w:t>
      </w:r>
    </w:p>
    <w:p>
      <w:r>
        <w:t>Unpaid Insurer-Authorised Garage Repairs — Milimani Small Claims Court</w:t>
      </w:r>
    </w:p>
    <w:p>
      <w:r>
        <w:t>Educational reconstruction based on a published Kenyan judicial decision. This is newly drafted sample wording, not the original filed document and not a case handled by our team. Parties and identifying details are replaced with fields for completion. The source judgment may display original public case details.</w:t>
      </w:r>
    </w:p>
    <w:p>
      <w:pPr>
        <w:pStyle w:val="Heading1"/>
      </w:pPr>
      <w:r>
        <w:t>Purpose and correct procedural stage</w:t>
      </w:r>
    </w:p>
    <w:p>
      <w:r>
        <w:t>Looking for a list of documents and issue-to-evidence schedule for unpaid insurer-authorised garage repairs in Nairobi? This page provides a reconstructed draft for Milimani Small Claims Court, with editable Word and PDF downloads. A Kenyan lawyer or advocate can adapt the document to the correct party, evidence and procedural stage.</w:t>
      </w:r>
    </w:p>
    <w:p>
      <w:r>
        <w:t>Use the formal section only after completing the fields from the actual record. The educational notes and later outcome are separate from the draft and should not be filed as allegations that existed at the earlier stage. Keep the actual party’s legal position: Garage representative.</w:t>
      </w:r>
    </w:p>
    <w:p>
      <w:r>
        <w:br w:type="page"/>
      </w:r>
    </w:p>
    <w:p>
      <w:pPr>
        <w:pStyle w:val="Heading1"/>
      </w:pPr>
      <w:r>
        <w:t>Reconstructed formal document</w:t>
      </w:r>
    </w:p>
    <w:p>
      <w:r>
        <w:t>REPUBLIC OF KENYA</w:t>
        <w:br/>
        <w:t>IN THE SMALL CLAIMS COURT AT MILIMANI, NAIROBI</w:t>
        <w:br/>
        <w:t>CASE NO [number] OF [year]</w:t>
        <w:br/>
        <w:t>[Claimant] — CLAIMANT</w:t>
        <w:br/>
        <w:t>VERSUS</w:t>
        <w:br/>
        <w:t>[Respondent] — RESPONDENT</w:t>
      </w:r>
    </w:p>
    <w:p>
      <w:r>
        <w:t>LIST OF DOCUMENTS AND ISSUE-TO-EVIDENCE SCHEDULE</w:t>
      </w:r>
    </w:p>
    <w:p>
      <w:r>
        <w:t>Filed by: [party]</w:t>
        <w:br/>
        <w:t>Procedural stage: [initial claim / response / application / appeal, select the actual stage]</w:t>
        <w:br/>
        <w:t>This list identifies actual records to be produced. An unheld record is not represented as an exhibit.</w:t>
      </w:r>
    </w:p>
    <w:p>
      <w:r>
        <w:t>DOCUMENTS RELIED ON</w:t>
      </w:r>
    </w:p>
    <w:p>
      <w:r>
        <w:t>D1. Repair authority</w:t>
        <w:br/>
        <w:t>Description: Insurer’s authorisation letter, with its payment conditions</w:t>
        <w:br/>
        <w:t>Fact or issue addressed: Contractual authority and recipient of the payment obligation</w:t>
        <w:br/>
        <w:t>Date and author/custodian: [complete]</w:t>
        <w:br/>
        <w:t>Bundle pages: [complete]</w:t>
        <w:br/>
        <w:t>Production status: [held / requested / unavailable; keep only records actually relied on]</w:t>
      </w:r>
    </w:p>
    <w:p>
      <w:r>
        <w:t>D2. Invoice and work records</w:t>
        <w:br/>
        <w:t>Description: Repair invoice and available completion records</w:t>
        <w:br/>
        <w:t>Fact or issue addressed: Scope of authorised work and charge claimed</w:t>
        <w:br/>
        <w:t>Date and author/custodian: [complete]</w:t>
        <w:br/>
        <w:t>Bundle pages: [complete]</w:t>
        <w:br/>
        <w:t>Production status: [held / requested / unavailable; keep only records actually relied on]</w:t>
      </w:r>
    </w:p>
    <w:p>
      <w:r>
        <w:t>D3. Completion and delivery</w:t>
        <w:br/>
        <w:t>Description: Satisfaction note, release record and evidence of delivery to insurer</w:t>
        <w:br/>
        <w:t>Fact or issue addressed: Completion conditions and commencement of payment period</w:t>
        <w:br/>
        <w:t>Date and author/custodian: [complete]</w:t>
        <w:br/>
        <w:t>Bundle pages: [complete]</w:t>
        <w:br/>
        <w:t>Production status: [held / requested / unavailable; keep only records actually relied on]</w:t>
      </w:r>
    </w:p>
    <w:p>
      <w:r>
        <w:t>D4. Demand and account</w:t>
        <w:br/>
        <w:t>Description: Demand, delivery proof and credits ledger</w:t>
        <w:br/>
        <w:t>Fact or issue addressed: Outstanding balance and payment request</w:t>
        <w:br/>
        <w:t>Date and author/custodian: [complete]</w:t>
        <w:br/>
        <w:t>Bundle pages: [complete]</w:t>
        <w:br/>
        <w:t>Production status: [held / requested / unavailable; keep only records actually relied on]</w:t>
      </w:r>
    </w:p>
    <w:p>
      <w:r>
        <w:t>DOCUMENTS REQUIRING A SEPARATE EVIDENTIAL FOUNDATION</w:t>
        <w:br/>
        <w:t>Electronic record source, relevant admissibility certificate or witness: [identify where required].</w:t>
        <w:br/>
        <w:t>Third-party records and proposed producing witness: [identify].</w:t>
        <w:br/>
        <w:t>Originals available for inspection: [identify].</w:t>
      </w:r>
    </w:p>
    <w:p>
      <w:r>
        <w:t>The filing party will supply a legible, consistently paginated bundle, disclose the relevant complete sequence rather than an isolated misleading extract, and identify disputed or missing records without purporting to have produced them.</w:t>
      </w:r>
    </w:p>
    <w:p>
      <w:r>
        <w:t>DATED at [place] this [day] of [month] [year].</w:t>
        <w:br/>
        <w:t>[Party or advocate signature]</w:t>
        <w:br/>
        <w:t>[Name and capacity]</w:t>
        <w:br/>
        <w:t>[Address for service]</w:t>
        <w:br/>
        <w:t>TO: [opposing party or advocate, verified service details].</w:t>
      </w:r>
    </w:p>
    <w:p>
      <w:r>
        <w:br w:type="page"/>
      </w:r>
    </w:p>
    <w:p>
      <w:pPr>
        <w:pStyle w:val="Heading1"/>
      </w:pPr>
      <w:r>
        <w:t>Evidence and adaptation checks</w:t>
      </w:r>
    </w:p>
    <w:p>
      <w:r>
        <w:t>Repair authority: Contractual authority and recipient of the payment obligation. Record to locate: Insurer’s authorisation letter, with its payment conditions.</w:t>
      </w:r>
    </w:p>
    <w:p>
      <w:r>
        <w:t>Invoice and work records: Scope of authorised work and charge claimed. Record to locate: Repair invoice and available completion records.</w:t>
      </w:r>
    </w:p>
    <w:p>
      <w:r>
        <w:t>Completion and delivery: Completion conditions and commencement of payment period. Record to locate: Satisfaction note, release record and evidence of delivery to insurer.</w:t>
      </w:r>
    </w:p>
    <w:p>
      <w:r>
        <w:t>Demand and account: Outstanding balance and payment request. Record to locate: Demand, delivery proof and credits ledger.</w:t>
      </w:r>
    </w:p>
    <w:p>
      <w:r>
        <w:t>The judgment’s references to the authority date are not fully consistent. Use the actual letter rather than choosing a date from the narrative. Do not turn this into a third-party accident compensation claim.</w:t>
      </w:r>
    </w:p>
    <w:p>
      <w:pPr>
        <w:pStyle w:val="Heading1"/>
      </w:pPr>
      <w:r>
        <w:t>What happened later — educational context only</w:t>
      </w:r>
    </w:p>
    <w:p>
      <w:r>
        <w:t>The garage obtained an award for the repair invoice. The decision turned on the authority and completion records, with the insurer providing no evidential answer to the established debt.</w:t>
      </w:r>
    </w:p>
    <w:p>
      <w:r>
        <w:t>The sample was drafted retrospectively from the published reasons. It is not evidence that these exact words, schedules or documents were filed in the source proceedings. Factual assertions must be verified independently before any real filing.</w:t>
      </w:r>
    </w:p>
    <w:p>
      <w:pPr>
        <w:pStyle w:val="Heading1"/>
      </w:pPr>
      <w:r>
        <w:t>Source judgment and filing review</w:t>
      </w:r>
    </w:p>
    <w:p>
      <w:r>
        <w:t>[2026] SCC 49 (KLR) — https://sheriahub.com/cases/ke/caselaw/ruaraka-auto-garage-v-directline-assurance-company-ltd-2026-scc-49-klr</w:t>
      </w:r>
    </w:p>
    <w:p>
      <w:r>
        <w:t>Full published judicial text, including final orders, reviewed 8 October 2026. The linked text is a reproduction of the judicial decision. The sample cites that decision as its factual and procedural starting point, not as a guarantee of another case’s outcome.</w:t>
      </w:r>
    </w:p>
    <w:p>
      <w:r>
        <w:t>Before use, a qualified Kenyan advocate should check current legislation and rules, court competence, limitation or appeal time, prescribed forms, electronic-record foundations, service and registry directions. Do not copy historic contract terms into a different transaction.</w:t>
      </w:r>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Times New Roman" w:hAnsi="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Unpaid Insurer-Authorised Garage Repairs: List of Documents and Issue-to-Evidence Schedule Sample — Nairobi</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