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Claimant’s Written Closing Submissions</w:t>
      </w:r>
    </w:p>
    <w:p>
      <w:r>
        <w:t>Unpaid Soil Deliveries and Separate Subcontract Cheques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claimant’s written closing submissions for unpaid soil deliveries and separate subcontract cheques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Claimant subcontractor.</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CLAIMANT’S WRITTEN CLOSING SUBMISSIONS</w:t>
      </w:r>
    </w:p>
    <w:p>
      <w:r>
        <w:t>1. Filed for: [identify party and procedural capacity]</w:t>
        <w:br/>
        <w:t>Decision/application addressed: [identify the actual challenged order or pending issue]</w:t>
        <w:br/>
        <w:t>Relevant record: [bundle or appeal-record references].</w:t>
      </w:r>
    </w:p>
    <w:p>
      <w:r>
        <w:t>2. ISSUES AND SUBMISSIONS</w:t>
      </w:r>
    </w:p>
    <w:p>
      <w:r>
        <w:t>3. SEPARATE ENTITLEMENT</w:t>
      </w:r>
    </w:p>
    <w:p>
      <w:r>
        <w:t>4. The response to the other-case argument identifies the payee, instruments and transaction giving rise to this claimant’s entitlement. Sharing a subcontract does not by itself establish identity of causes of action. The record passage relied on is [insert accurate bundle or proceedings references].</w:t>
      </w:r>
    </w:p>
    <w:p>
      <w:r>
        <w:t>5. RES JUDICATA MUST BE ESTABLISHED</w:t>
      </w:r>
    </w:p>
    <w:p>
      <w:r>
        <w:t>6. Section 7 of the Civil Procedure Act requires examination of the parties, the issue directly and substantially in dispute, competence and a prior final determination. A bare reference to another judgment does not establish all these elements. The record passage relied on is [insert accurate bundle or proceedings references].</w:t>
      </w:r>
    </w:p>
    <w:p>
      <w:r>
        <w:t>7. PAYMENTS MUST BE ALLOCATED</w:t>
      </w:r>
    </w:p>
    <w:p>
      <w:r>
        <w:t>8. A receipt relating to another transaction, or a credit later reversed, should not be deducted without proving its allocation to the pleaded debt. Conversely, every genuine payment towards this account must be credited. The record passage relied on is [insert accurate bundle or proceedings references].</w:t>
      </w:r>
    </w:p>
    <w:p>
      <w:r>
        <w:t>9. NET DEBT AND CIVIL RELIEF</w:t>
      </w:r>
    </w:p>
    <w:p>
      <w:r>
        <w:t>10. The dishonoured instruments support a civil claim when linked to the underlying supply. This draft does not allege that cheque dishonour proves a criminal offence or fraudulent intent. The record passage relied on is [insert accurate bundle or proceedings references].</w:t>
      </w:r>
    </w:p>
    <w:p>
      <w:r>
        <w:t>11. PROCEDURAL POSITION</w:t>
        <w:br/>
        <w:t>The submission addresses the pleaded issue at this procedural stage. It does not amend the pleadings or turn disputed assertions into evidence.</w:t>
      </w:r>
    </w:p>
    <w:p>
      <w:r>
        <w:t>12. ORDERS REQUESTED</w:t>
        <w:br/>
        <w:t>Judgment for KSh [reconciled unpaid amount attributable to this claimant], interest as lawfully determined and assessed costs; reject the unsupported contention that another subcontractor’s judgment bars this claim.</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Subcontract and delivery: Scope of supply and allocation between subcontractors. Record to locate: Memorandum and delivery or acceptance records.</w:t>
      </w:r>
    </w:p>
    <w:p>
      <w:r>
        <w:t>Claimant-specific cheques: Identity of payee and separate payment obligation. Record to locate: Original or bank-certified instruments and return notices.</w:t>
      </w:r>
    </w:p>
    <w:p>
      <w:r>
        <w:t>Replacement instruments: Whether the debt was satisfied or instruments merely replaced. Record to locate: Replacement cheques, stop notice and payment correspondence.</w:t>
      </w:r>
    </w:p>
    <w:p>
      <w:r>
        <w:t>Payment reconciliation: Separate this account from unrelated or reversed payments. Record to locate: Bank or mobile-money credits, disputed payments and their transaction references.</w:t>
      </w:r>
    </w:p>
    <w:p>
      <w:r>
        <w:t>Other proceedings: Test parties, issue and cause of action for the asserted bar. Record to locate: Relevant pleadings and final order in the other subcontractor’s case.</w:t>
      </w:r>
    </w:p>
    <w:p>
      <w:r>
        <w:t>Do not silently fix inconsistent source arithmetic or duplicate recovery awarded to another supplier. Complete a claimant-specific payment ledger and check the prior pleadings.</w:t>
      </w:r>
    </w:p>
    <w:p>
      <w:pPr>
        <w:pStyle w:val="Heading1"/>
      </w:pPr>
      <w:r>
        <w:t>What happened later — educational context only</w:t>
      </w:r>
    </w:p>
    <w:p>
      <w:r>
        <w:t>The claimant recovered the unpaid sum. The court treated the claimant’s cheque obligation as distinct and rejected the asserted bar arising from the other subcontractor’s case.</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193 (KLR) — https://sheriahub.com/cases/ke/caselaw/wairimu-v-kinyanjui-ta-githembe-general-stores-2026-scc-193-klr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Soil Deliveries and Separate Subcontract Cheques: Claimant’s Written Closing Submissions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