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Statement of Claim Supporting Particulars</w:t>
      </w:r>
    </w:p>
    <w:p>
      <w:r>
        <w:t>Unpaid Soil Deliveries and Separate Subcontract Cheques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statement of claim supporting particulars for unpaid soil deliveries and separate subcontract cheques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Claimant subcontractor. This download is supporting particulars, not a reproduction of the prescribed SCC 1 or SCC 2 form. Obtain the current form from the registry and complete its required fields.</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STATEMENT OF CLAIM SUPPORTING PARTICULARS</w:t>
      </w:r>
    </w:p>
    <w:p>
      <w:r>
        <w:t>1. The Claimant seeks relief for the transaction described below. These particulars accompany the current prescribed Form SCC 1; the signed form supplies the parties’ legal descriptions and service particulars.</w:t>
      </w:r>
    </w:p>
    <w:p>
      <w:r>
        <w:t>2. The pleaded basis for Milimani venue is [evidenced Nairobi place of transaction or respondent’s business/residence]. The principal claimed is KSh [verified net amount]; the Claimant relies on the court’s contract or money-held jurisdiction as applicable to the completed facts.</w:t>
      </w:r>
    </w:p>
    <w:p>
      <w:r>
        <w:t>3. The subcontract arrangement concerned supply of red soil through the respondent to a manufacturer. Two subcontractors participated, but the claimant relies on the payment instruments issued to the claimant for the claimant’s own deliveries.</w:t>
      </w:r>
    </w:p>
    <w:p>
      <w:r>
        <w:t>4. The claimant received part payment. Postdated cheques issued for the remaining obligation were dishonoured, and replacement instruments did not satisfy the debt. One replacement payment was stopped.</w:t>
      </w:r>
    </w:p>
    <w:p>
      <w:r>
        <w:t>5. The respondent asserted additional payments and relied on another subcontractor’s proceedings. The claimant disputes that those payments discharged this particular debt or that the other judgment determined the claimant’s separate cause of action.</w:t>
      </w:r>
    </w:p>
    <w:p>
      <w:r>
        <w:t>6. The claim must reconcile the agreement, delivered quantities, payments and claimant-specific cheques. The original narrative contains figures that do not arithmetically reconcile; the pleaded net amount must come from the actual ledger.</w:t>
      </w:r>
    </w:p>
    <w:p>
      <w:r>
        <w:t>7. PARTICULARS OF THE SUM CLAIMED</w:t>
        <w:br/>
        <w:t>Total proved payment or contract price: KSh [A]</w:t>
        <w:br/>
        <w:t>Less payments, refunds and credits attributable to this transaction: KSh [B]</w:t>
        <w:br/>
        <w:t>Less any legally justified adjustment admitted by the Claimant: KSh [C]</w:t>
        <w:br/>
        <w:t>Net principal sought: KSh [A minus B minus C]</w:t>
        <w:br/>
        <w:t>Separate pleaded additional relief, if supported: [identify basis and amount].</w:t>
      </w:r>
    </w:p>
    <w:p>
      <w:r>
        <w:t>8. The Claimant relies on the contemporaneous records identified in the accompanying list of documents and the witnesses with direct knowledge of payment, performance and the disputed events.</w:t>
      </w:r>
    </w:p>
    <w:p>
      <w:r>
        <w:t>9. RELIEF SOUGHT</w:t>
        <w:br/>
        <w:t>Judgment for KSh [reconciled unpaid amount attributable to this claimant], interest as lawfully determined and assessed costs; reject the unsupported contention that another subcontractor’s judgment bars this claim.</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Subcontract and delivery: Scope of supply and allocation between subcontractors. Record to locate: Memorandum and delivery or acceptance records.</w:t>
      </w:r>
    </w:p>
    <w:p>
      <w:r>
        <w:t>Claimant-specific cheques: Identity of payee and separate payment obligation. Record to locate: Original or bank-certified instruments and return notices.</w:t>
      </w:r>
    </w:p>
    <w:p>
      <w:r>
        <w:t>Replacement instruments: Whether the debt was satisfied or instruments merely replaced. Record to locate: Replacement cheques, stop notice and payment correspondence.</w:t>
      </w:r>
    </w:p>
    <w:p>
      <w:r>
        <w:t>Payment reconciliation: Separate this account from unrelated or reversed payments. Record to locate: Bank or mobile-money credits, disputed payments and their transaction references.</w:t>
      </w:r>
    </w:p>
    <w:p>
      <w:r>
        <w:t>Other proceedings: Test parties, issue and cause of action for the asserted bar. Record to locate: Relevant pleadings and final order in the other subcontractor’s case.</w:t>
      </w:r>
    </w:p>
    <w:p>
      <w:r>
        <w:t>Do not silently fix inconsistent source arithmetic or duplicate recovery awarded to another supplier. Complete a claimant-specific payment ledger and check the prior pleadings.</w:t>
      </w:r>
    </w:p>
    <w:p>
      <w:pPr>
        <w:pStyle w:val="Heading1"/>
      </w:pPr>
      <w:r>
        <w:t>What happened later — educational context only</w:t>
      </w:r>
    </w:p>
    <w:p>
      <w:r>
        <w:t>The claimant recovered the unpaid sum. The court treated the claimant’s cheque obligation as distinct and rejected the asserted bar arising from the other subcontractor’s case.</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SCC 193 (KLR) — https://sheriahub.com/cases/ke/caselaw/wairimu-v-kinyanjui-ta-githembe-general-stores-2026-scc-193-klr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Unpaid Soil Deliveries and Separate Subcontract Cheques: Statement of Claim Supporting Particulars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