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Claimant’s Written Closing Submissions</w:t>
      </w:r>
    </w:p>
    <w:p>
      <w:r>
        <w:t>Travel Agent Refund With Unsupported Airline Penalties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claimant’s written closing submissions for travel agent refund with unsupported airline penalties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Travellers claiming repayment.</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CLAIMANT’S WRITTEN CLOSING SUBMISSIONS</w:t>
      </w:r>
    </w:p>
    <w:p>
      <w:r>
        <w:t>1. Filed for: [identify party and procedural capacity]</w:t>
        <w:br/>
        <w:t>Decision/application addressed: [identify the actual challenged order or pending issue]</w:t>
        <w:br/>
        <w:t>Relevant record: [bundle or appeal-record references].</w:t>
      </w:r>
    </w:p>
    <w:p>
      <w:r>
        <w:t>2. ISSUES AND SUBMISSIONS</w:t>
      </w:r>
    </w:p>
    <w:p>
      <w:r>
        <w:t>3. MONEY RETAINED BY THE INTERMEDIARY</w:t>
      </w:r>
    </w:p>
    <w:p>
      <w:r>
        <w:t>4. The court should identify the money received and what was returned. The requested relief concerns a services contract and funds retained, rather than immigration relief or damages against a consulate. The record passage relied on is [insert accurate bundle or proceedings references].</w:t>
      </w:r>
    </w:p>
    <w:p>
      <w:r>
        <w:t>5. DEDUCTION REQUIRES TWO FOUNDATIONS</w:t>
      </w:r>
    </w:p>
    <w:p>
      <w:r>
        <w:t>6. A claimed penalty needs proof that it was incurred and a legal or contractual basis for passing it to the travellers. An itinerary alone does not prove airline remittance. The record passage relied on is [insert accurate bundle or proceedings references].</w:t>
      </w:r>
    </w:p>
    <w:p>
      <w:r>
        <w:t>7. SPECIAL KNOWLEDGE</w:t>
      </w:r>
    </w:p>
    <w:p>
      <w:r>
        <w:t>8. Sections 107, 109 and 112 of the Evidence Act were relevant to proof of the expense assertion and records in the agent’s knowledge. The travellers’ initial proof of payment remains necessary. The record passage relied on is [insert accurate bundle or proceedings references].</w:t>
      </w:r>
    </w:p>
    <w:p>
      <w:r>
        <w:t>9. NARROW CONCLUSION</w:t>
      </w:r>
    </w:p>
    <w:p>
      <w:r>
        <w:t>10. Genuine and contractually justified expenses can affect a refund. The source record lacked the proof for the proposed deductions; it does not establish that all travel bookings must always be refunded in full. The record passage relied on is [insert accurate bundle or proceedings references].</w:t>
      </w:r>
    </w:p>
    <w:p>
      <w:r>
        <w:t>11. PROCEDURAL POSITION</w:t>
        <w:br/>
        <w:t>The submission addresses the pleaded issue at this procedural stage. It does not amend the pleadings or turn disputed assertions into evidence.</w:t>
      </w:r>
    </w:p>
    <w:p>
      <w:r>
        <w:t>12. ORDERS REQUESTED</w:t>
        <w:br/>
        <w:t>Judgment for KSh [payments received minus verified refunds and legally justified proven deductions], lawful interest and assessed costs.</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Booking and payment: Sum paid, payer and service contracted for. Record to locate: Booking agreement, receipts and admissible bank or wallet records.</w:t>
      </w:r>
    </w:p>
    <w:p>
      <w:r>
        <w:t>Visa and cancellation: Why travel did not proceed and refund request chronology. Record to locate: Relevant refusal and cancellation communications, privately redacted as appropriate.</w:t>
      </w:r>
    </w:p>
    <w:p>
      <w:r>
        <w:t>Airline account: Differentiate reservation from payment and a quoted fee from an incurred fee. Record to locate: Actual remittance receipts and penalty terms, if supplied.</w:t>
      </w:r>
    </w:p>
    <w:p>
      <w:r>
        <w:t>Refund account: Avoid double recovery and unsupported arithmetic. Record to locate: All refund credits and retained sums reconciled by date.</w:t>
      </w:r>
    </w:p>
    <w:p>
      <w:r>
        <w:t>The narrative figures for the proposed deductions do not fully reconcile. Use a verified ledger. Do not promise full recovery merely because a transit visa was refused.</w:t>
      </w:r>
    </w:p>
    <w:p>
      <w:pPr>
        <w:pStyle w:val="Heading1"/>
      </w:pPr>
      <w:r>
        <w:t>What happened later — educational context only</w:t>
      </w:r>
    </w:p>
    <w:p>
      <w:r>
        <w:t>The refund was upheld on appeal. The asserted deductions lacked the required supporting proof in the record. The court distinguished reservations from actual remittances.</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9991 (KLR) — https://sheriahub.com/cases/ke/caselaw/skyblue-travel-bureau-ltd-v-kariuki-another-2026-kehc-9991-klr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 Refund With Unsupported Airline Penalties: Claimant’s Written Closing Submissions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