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Witness Statement</w:t>
      </w:r>
    </w:p>
    <w:p>
      <w:r>
        <w:t>Returned Wrong Vehicle Components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witness statement for returned wrong vehicle components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Buyer.</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WITNESS STATEMENT</w:t>
      </w:r>
    </w:p>
    <w:p>
      <w:r>
        <w:t>1. I, [witness name], of [address retained in the filed record], make this statement in my capacity as [actual role]. I identify below the matters I personally observed and the records I am competent to explain.</w:t>
      </w:r>
    </w:p>
    <w:p>
      <w:r>
        <w:t>2. My connection with the transaction is [state actual participation and, for a business witness, authority and record-keeping role]. I do not give evidence on behalf of a mechanic, police officer, bank or other participant about matters outside my personal knowledge.</w:t>
      </w:r>
    </w:p>
    <w:p>
      <w:r>
        <w:t>3. I made two separate purchases of vehicle components from the supplier. I returned the first component after it did not match the specification. The assurance concerning that purchase is recorded in [identify correspondence].</w:t>
      </w:r>
    </w:p>
    <w:p>
      <w:r>
        <w:t>4. I separately ordered and paid for the second component. It could not be configured to my vehicle’s Engine Control Unit despite attempts at four garages. I identify the garages and the sequence of visits at [chronology and records].</w:t>
      </w:r>
    </w:p>
    <w:p>
      <w:r>
        <w:t>5. I rejected and returned the second component. The date, recipient and acknowledgement are [complete from records]. I sought repayment for the returned components.</w:t>
      </w:r>
    </w:p>
    <w:p>
      <w:r>
        <w:t>6. I also returned differential oil. Its description and return evidence are [complete]. Refunds or credits actually received by me are [identify, or state none only if accurate].</w:t>
      </w:r>
    </w:p>
    <w:p>
      <w:r>
        <w:t>7. I identify the records I made, sent, received or maintained as [bundle page references and explanation of provenance]. For a record obtained from another person, the source and the basis on which I can speak to it are [complete from evidence].</w:t>
      </w:r>
    </w:p>
    <w:p>
      <w:r>
        <w:t>8. Payments and credits I can explain are [date, amount, channel and allocation]. Any difference between an initiated payment and a completed or reversed transfer is addressed expressly. I rely on the net account, without treating a later judicial award as part of the original transaction.</w:t>
      </w:r>
    </w:p>
    <w:p>
      <w:r>
        <w:t>9. The events I did not personally observe, and any matter requiring another witness, are [identify]. I have not adopted another participant’s observations as my own.</w:t>
      </w:r>
    </w:p>
    <w:p>
      <w:r>
        <w:t>I confirm that the completed statement reflects my knowledge and the identified records.</w:t>
        <w:br/>
        <w:t>Signed: [witness]</w:t>
        <w:br/>
        <w:t>Date: [date]</w:t>
        <w:br/>
        <w:t>[Apply any required statement of truth or registry attestation in the current prescribed form.]</w:t>
      </w:r>
    </w:p>
    <w:p>
      <w:r>
        <w:br w:type="page"/>
      </w:r>
    </w:p>
    <w:p>
      <w:pPr>
        <w:pStyle w:val="Heading1"/>
      </w:pPr>
      <w:r>
        <w:t>Evidence and adaptation checks</w:t>
      </w:r>
    </w:p>
    <w:p>
      <w:r>
        <w:t>First purchase records: First transaction and scope of the supplier’s promise. Record to locate: Order, payment and the assurance relating to the first component.</w:t>
      </w:r>
    </w:p>
    <w:p>
      <w:r>
        <w:t>Second purchase records: Independent second contract and communicated requirement. Record to locate: Separate quotation, payment and specification correspondence.</w:t>
      </w:r>
    </w:p>
    <w:p>
      <w:r>
        <w:t>Diagnostic and return evidence: Configuration problem, rejection chronology and receipt by supplier. Record to locate: Available mechanic records, messages and return acknowledgements; do not create a missing report.</w:t>
      </w:r>
    </w:p>
    <w:p>
      <w:r>
        <w:t>Credit and oil records: Net relief and avoidance of duplicate recovery. Record to locate: Refund or disposal accounts and records identifying the oil.</w:t>
      </w:r>
    </w:p>
    <w:p>
      <w:r>
        <w:t>Do not invent an expert report, a promise covering both purchases, or an appeal brought by the successful buyer.</w:t>
      </w:r>
    </w:p>
    <w:p>
      <w:pPr>
        <w:pStyle w:val="Heading1"/>
      </w:pPr>
      <w:r>
        <w:t>What happened later — educational context only</w:t>
      </w:r>
    </w:p>
    <w:p>
      <w:r>
        <w:t>The High Court preserved the refund outcome while correcting the legal basis for the second transaction. The successful buyer was the respondent to the supplier’s appeal.</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13576 (KLR) — https://sheriahub.com/cases/ke/caselaw/gichuhi-v-mokua-2026-kehc-13576-klr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Returned Wrong Vehicle Components: Witness Statement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