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Wayleave Officer Affidavit Disclosing Earlier Litigation and Pipeline Safety Evidence</w:t>
      </w:r>
    </w:p>
    <w:p>
      <w:r>
        <w:t>Educational sample 242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LAND CASE NO [reference]</w:t>
      </w:r>
    </w:p>
    <w:p>
      <w:r>
        <w:t>[CLAIMANT] v [RESPONDENT]</w:t>
      </w:r>
    </w:p>
    <w:p>
      <w:r>
        <w:t>AFFIDAVIT</w:t>
      </w:r>
    </w:p>
    <w:p>
      <w:r>
        <w:t>1. I am [wayleave officer identity and authority]. I respond to the application concerning [redacted parcel]. I identify the land and operational records within my knowledge or custody and state separately information obtained from the company advocates and court file.</w:t>
      </w:r>
    </w:p>
    <w:p>
      <w:r>
        <w:t>2. The earlier proceeding was [case reference]. Its parties, parcel description, interim ruling date and subsequent disposal are set out from [certified documents]. I disclose that dismissal for want of prosecution differs from a final merits judgment and identify the specific interim issue previously determined.</w:t>
      </w:r>
    </w:p>
    <w:p>
      <w:r>
        <w:t>3. The current application refers to [current parcel], whereas the earlier pleadings refer to [earlier parcel]. The verified relationship between them is [plan and author]. I cannot establish identical land by saying the parcels adjoin; the relevant structures and boundaries must be located by admissible evidence.</w:t>
      </w:r>
    </w:p>
    <w:p>
      <w:r>
        <w:t>4. The authority material supplied with the current application and later reply consists of [documents and dates]. The source discrepancy involved a claimed fifty-five residents and later lists totalling sixty-one names. In this actual file I identify the real numbers, signatures and dates without asserting forgery from an inconsistency alone.</w:t>
      </w:r>
    </w:p>
    <w:p>
      <w:r>
        <w:t>5. The asserted pipeline safety risk rests on [engineering or operational record, qualified author and evidence]. The consultation held and notices actually served were [dates, recipients and proof]. Attendance at a public meeting is distinguished from lawful notice to each person affected by a proposed eviction.</w:t>
      </w:r>
    </w:p>
    <w:p>
      <w:r>
        <w:t>6. The interim order prevents [precise act], with operational impact [supported facts]. I disclose any alternative measure, ongoing proceeding and later order material to urgency. No annexure or safety conclusion is invented, and I do not claim this affidavit independently authorises demolition.</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resident sought protection against demolition on a claimed Mombasa parcel and purported to represent fifty-five others. The utility pointed to earlier litigation concerning a neighbouring parcel, a refused 2019 interim application and a suit later dismissed for want of prosecution. The plaintiff supplied later undated lists containing sixty-one names. The utility own motion cited party-joinder provisions for relief that instead concerned vacating interim orders and striking out.</w:t>
      </w:r>
    </w:p>
    <w:p>
      <w:r>
        <w:t>The Court dismissed the plaintiff motion, struck out the utility motion for its inappropriate procedural basis and vacated the interim status-quo order. It criticised non-disclosure, uncertainty over the parcel and missing contemporaneous authority. It treated the repeated interim issues as res judicata. It did not finally dismiss the entire substantive suit through the defective utility application or approve every future demolition.</w:t>
      </w:r>
    </w:p>
    <w:p>
      <w:r>
        <w:t>Distinguish authority to act for named co-parties under Order 1 rule 13 from a representative action under rule 8. A dismissed main suit and an earlier decided interim issue require separate analysis under sections 6 and 7. Use the provision matching the specific relief: Order 40 rule 7 for discharge or variation of an injunction, with an appropriate application under Order 51. Do not copy the unsuccessful joinder-rule motion.</w:t>
      </w:r>
    </w:p>
    <w:p>
      <w:r>
        <w:t>[2025] KEELC 1342 (KLR) - 19 March 2025. Source decision: https://new.kenyalaw.org/akn/ke/judgment/keelc/2025/1342/eng%402025-03-19</w:t>
      </w:r>
    </w:p>
    <w:p>
      <w:r>
        <w:t>Reproduced primary text checked: https://sheriahub.com/cases/ke/caselaw/masha-v-kenya-pipeline-company-limited-2025-keelc-1342-klr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Wayleave Officer Affidavit Disclosing Earlier Litigation and Pipeline Safety Evidence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