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Landlord Reply on Lease Expiry  Arrears and Tribunal Orders</w:t>
      </w:r>
    </w:p>
    <w:p>
      <w:r>
        <w:t>Educational sample 292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ENVIRONMENT AND LAND CASE NO [reference]</w:t>
      </w:r>
    </w:p>
    <w:p>
      <w:r>
        <w:t>[TENANT PLAINTIFF] v [LANDLORD DEFENDANT AND RESPONDENT]</w:t>
      </w:r>
    </w:p>
    <w:p>
      <w:r>
        <w:t>AFFIDAVIT</w:t>
      </w:r>
    </w:p>
    <w:p>
      <w:r>
        <w:t>1. I am [landlord or authorised deponent]. I identify the signed lease, payment records and certified Tribunal orders on which I rely. Facts outside my knowledge are attributed to their actual documentary or named information source.</w:t>
      </w:r>
    </w:p>
    <w:p>
      <w:r>
        <w:t>2. The lease began on [date], specified monthly rent of [amount] and a fixed term ending on [date]. The relevant clauses and any valid extension or later agreement are [identify]. I disclose, rather than omit, any genuine renewal or variation.</w:t>
      </w:r>
    </w:p>
    <w:p>
      <w:r>
        <w:t>3. Rent received is shown in the annexed ledger reconciled to [bank or receipt records]. The claimed arrears period is [period], less all actual payments and contractual credits. The accounting does not treat unsupported auctioneer or legal charges as rent.</w:t>
      </w:r>
    </w:p>
    <w:p>
      <w:r>
        <w:t>4. The tenant alleged waiver after disruption is answered by [genuine correspondence and knowledge]. I do not merely claim that no waiver exists if the records show otherwise. Disputed conversations and written terms are separately identified.</w:t>
      </w:r>
    </w:p>
    <w:p>
      <w:r>
        <w:t>5. The earlier Tribunal proceedings concerned [relief and issue]. The certified ruling and known appeal or review status are [exhibits]. I identify the overlap for the Court determination and do not swear a legal conclusion that every new issue is barred.</w:t>
      </w:r>
    </w:p>
    <w:p>
      <w:r>
        <w:t>6. The present enforcement steps and auctioneer documents are [details]. I request that the motion be determined on the actual lease, account and prior record. Further legal argument on res judicata and injunction principles will be addressed separately.</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car-wash tenant sought an injunction against distress for claimed rent arrears of Kshs 3,840,000 plus Kshs 960,000 charges. He alleged a rent waiver after county demolition. The landlord relied on a monthly rent of Kshs 160,000, expiry of the lease in June 2024 and an earlier Business Premises Rent Tribunal ruling.</w:t>
      </w:r>
    </w:p>
    <w:p>
      <w:r>
        <w:t>The Court found no exhibited waiver or proved basis for the claimed reduction. It held the lease had expired and the issues had already been litigated before the Tribunal. The motion and entire suit were struck out with costs to the landlord.</w:t>
      </w:r>
    </w:p>
    <w:p>
      <w:r>
        <w:t>This is an unsuccessful fresh injunction, not authority to repeat a finally determined reference. Distress, possession, disputed rent accounting and a challenge to a Tribunal order are distinct procedural issues. Obtain the prior record and assess res judicata, limitation, appeal or review route and actual jurisdiction. Do not fabricate a rent waiver or assume business interruption automatically cancels rent.</w:t>
      </w:r>
    </w:p>
    <w:p>
      <w:r>
        <w:t>[2025] KEELC 6191 (KLR) - 25 September 2025. Source decision: https://sheriahub.com/cases/ke/caselaw/bayusuf-v-nyale-2025-keelc-6191-klr</w:t>
      </w:r>
    </w:p>
    <w:p>
      <w:r>
        <w:t>Reproduced primary text checked: https://sheriahub.com/cases/ke/caselaw/bayusuf-v-nyale-2025-keelc-6191-klr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 Reply on Lease Expiry, Arrears and Tribunal Orders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