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 Wash Rent Waiver Dispute   Payment and Distress Schedule</w:t>
      </w:r>
    </w:p>
    <w:p>
      <w:r>
        <w:t>Educational sample 294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CASE NO [reference]</w:t>
      </w:r>
    </w:p>
    <w:p>
      <w:r>
        <w:t>[TENANT PLAINTIFF] v [LANDLORD DEFENDANT]</w:t>
      </w:r>
    </w:p>
    <w:p>
      <w:r>
        <w:t>EVIDENCE OR COMPUTATION SCHEDULE</w:t>
      </w:r>
    </w:p>
    <w:p>
      <w:r>
        <w:t>1. This schedule reconciles the tenant and landlord accounts without deciding whether a waiver was agreed or enforcement is lawful. It separates rent, payments, proposed credits and auctioneer or legal charges.</w:t>
      </w:r>
    </w:p>
    <w:p>
      <w:r>
        <w:t>2. For each rent period enter [contractual amount], [due date], [actual payment and reference] and [balance]. At Kshs 160,000 per month, twenty-four unpaid months arithmetically total Kshs 3,840,000; the actual months and credits must still be proved.</w:t>
      </w:r>
    </w:p>
    <w:p>
      <w:r>
        <w:t>3. For each alleged waiver insert the precise period, alleged agreement date, parties, terms and supporting document or witness. The absence of proved waiver evidence is expressly marked. County demolition or interruption alone is not entered as a rent credit.</w:t>
      </w:r>
    </w:p>
    <w:p>
      <w:r>
        <w:t>4. Distress entries identify the proclamation, inventory, notice, proposed sale date and charges basis. The Kshs 960,000 charges asserted in the source are not added as automatically recoverable rent or copied into a new claim without lawful justification.</w:t>
      </w:r>
    </w:p>
    <w:p>
      <w:r>
        <w:t>5. The procedural column identifies the prior Tribunal decision, relief granted or refused, and actual review or appeal status. Lease expiry is separately recorded from the calculation of arrears and the question of entitlement to remain.</w:t>
      </w:r>
    </w:p>
    <w:p>
      <w:r>
        <w:t>6. The final reconciliation shows each party position, the agreed sum if any and the remaining disputed items. It supports genuine evidence and settlement or competent proceedings, not another injunction that conceals an adverse prior ruling.</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car-wash tenant sought an injunction against distress for claimed rent arrears of Kshs 3,840,000 plus Kshs 960,000 charges. He alleged a rent waiver after county demolition. The landlord relied on a monthly rent of Kshs 160,000, expiry of the lease in June 2024 and an earlier Business Premises Rent Tribunal ruling.</w:t>
      </w:r>
    </w:p>
    <w:p>
      <w:r>
        <w:t>The Court found no exhibited waiver or proved basis for the claimed reduction. It held the lease had expired and the issues had already been litigated before the Tribunal. The motion and entire suit were struck out with costs to the landlord.</w:t>
      </w:r>
    </w:p>
    <w:p>
      <w:r>
        <w:t>This is an unsuccessful fresh injunction, not authority to repeat a finally determined reference. Distress, possession, disputed rent accounting and a challenge to a Tribunal order are distinct procedural issues. Obtain the prior record and assess res judicata, limitation, appeal or review route and actual jurisdiction. Do not fabricate a rent waiver or assume business interruption automatically cancels rent.</w:t>
      </w:r>
    </w:p>
    <w:p>
      <w:r>
        <w:t>[2025] KEELC 6191 (KLR) - 25 September 2025. Source decision: https://sheriahub.com/cases/ke/caselaw/bayusuf-v-nyale-2025-keelc-6191-klr</w:t>
      </w:r>
    </w:p>
    <w:p>
      <w:r>
        <w:t>Reproduced primary text checked: https://sheriahub.com/cases/ke/caselaw/bayusuf-v-nyale-2025-keelc-6191-klr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Wash Rent Waiver Dispute — Payment and Distress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