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Forty Adverse Possession Claimants   Occupation and Parcel Schedule</w:t>
      </w:r>
    </w:p>
    <w:p>
      <w:r>
        <w:t>Educational sample 288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ORIGINATING SUMMONS NO [reference]</w:t>
      </w:r>
    </w:p>
    <w:p>
      <w:r>
        <w:t>[NAMED OCCUPIER APPLICANTS] v [REGISTERED PROPRIETOR]</w:t>
      </w:r>
    </w:p>
    <w:p>
      <w:r>
        <w:t>EVIDENCE OR COMPUTATION SCHEDULE</w:t>
      </w:r>
    </w:p>
    <w:p>
      <w:r>
        <w:t>1. This schedule is to identify every Applicant and the land each claims. It supports the originating summons and evidence; it does not create entitlement for an unnamed household, relative or member of a community organisation.</w:t>
      </w:r>
    </w:p>
    <w:p>
      <w:r>
        <w:t>2. For each Applicant record [name in confidential filing], [capacity], [date or period of entry], [source of knowledge], [occupied portion] and [residence or cultivation evidence]. Uncertain dates are stated as uncertain, with the evidence supporting any approximate period.</w:t>
      </w:r>
    </w:p>
    <w:p>
      <w:r>
        <w:t>3. The title column gives the certified register date, registered proprietor and relevant parcel changes. The extent column links each occupied portion to an adequate map or survey description, explaining any shared occupation or overlap.</w:t>
      </w:r>
    </w:p>
    <w:p>
      <w:r>
        <w:t>4. The permission and interruption columns record any tenancy, licence, consent, acknowledgment, eviction, recovery suit or cessation of possession. A blank column is not represented as proof that no interrupting event ever occurred.</w:t>
      </w:r>
    </w:p>
    <w:p>
      <w:r>
        <w:t>5. The supporting-evidence column gives the document date, custodian, page and actual purpose. A 2023 organisation certificate establishes registration; it does not prove the beginning of a thirty-year occupation claim.</w:t>
      </w:r>
    </w:p>
    <w:p>
      <w:r>
        <w:t>6. The proposed registration column identifies the names and form of ownership sought within the pleaded case. Any eventual order must be checked against the decree and land-registration requirements, rather than treating the draft schedule as authority for transfer.</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Forty occupiers sought title to approximately 3.790 hectares through adverse possession. They relied on longstanding occupation, photographs, a sketch of their portions and a title search. The registered proprietor did not appear after court-authorised substituted service; the Court heard formal proof.</w:t>
      </w:r>
    </w:p>
    <w:p>
      <w:r>
        <w:t>The Court declared the occupiers entitled through adverse possession and directed cancellation or rectification of the proprietor entries and registration of the forty successful applicants. There was no costs order. Non-appearance did not replace the applicants obligation to prove their claim.</w:t>
      </w:r>
    </w:p>
    <w:p>
      <w:r>
        <w:t>Limitation of Actions Act sections 7 and 38 and Civil Procedure Order 37 rule 7 govern the substantive and originating-summons issues. Identify each claimant, legal capacity, occupied extent, commencement, continuity, lack of permission and possible interruption. Community registration in 2023 is not the start of each person occupation. The source refers both to over thirty years and entry in 1983; do not manufacture an identical start date for all forty.</w:t>
      </w:r>
    </w:p>
    <w:p>
      <w:r>
        <w:t>[2025] KEELC 5068 (KLR) - 4 July 2025. Source decision: https://sheriahub.com/cases/ke/caselaw/kalama-39-others-under-umoja-family-moja-cbo-v-nahdey-2025-keelc-5068-klr</w:t>
      </w:r>
    </w:p>
    <w:p>
      <w:r>
        <w:t>Reproduced primary text checked: https://sheriahub.com/cases/ke/caselaw/kalama-39-others-under-umoja-family-moja-cbo-v-nahdey-2025-keelc-5068-klr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Forty Adverse Possession Claimants — Occupation and Parcel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