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Debtor Bankruptcy Notices   Affidavit of Actual Publication and Service</w:t>
      </w:r>
    </w:p>
    <w:p>
      <w:r>
        <w:t>Educational sample 319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BANKRUPTCY PETITION NO [reference]</w:t>
      </w:r>
    </w:p>
    <w:p>
      <w:r>
        <w:t>IN THE MATTER OF [INDIVIDUAL DEBTOR] AND THE INSOLVENCY ACT</w:t>
      </w:r>
    </w:p>
    <w:p>
      <w:r>
        <w:t>AFFIDAVIT</w:t>
      </w:r>
    </w:p>
    <w:p>
      <w:r>
        <w:t>1. I am [person who effected or can prove the identified steps]. I depose only to publication, delivery or records within my knowledge and explain the basis of any information obtained from a publisher or other person.</w:t>
      </w:r>
    </w:p>
    <w:p>
      <w:r>
        <w:t>2. The Court order or applicable direction concerning notice is dated [date] and exhibited as [mark]. I identify its exact requirements for the Gazette, newspaper notices, creditor service or other steps without assuming that every case uses the same sequence.</w:t>
      </w:r>
    </w:p>
    <w:p>
      <w:r>
        <w:t>3. The actual publication appeared in [verified publication] on [date], at [page or notice reference]. The genuine notice and proof from the publisher are [marks]. A proposed advertisement or invoice alone is not represented as proof of publication.</w:t>
      </w:r>
    </w:p>
    <w:p>
      <w:r>
        <w:t>4. The creditors served, method, date, place and recipients are set out in [genuine service schedule], with the records required for the particular method. Known failures or returned notices are disclosed and any remedial direction is identified.</w:t>
      </w:r>
    </w:p>
    <w:p>
      <w:r>
        <w:t>5. Responses actually received are [identify]. I do not swear that no creditor opposed merely because I did not personally see a response; the registry or proper record basis for that statement is explained.</w:t>
      </w:r>
    </w:p>
    <w:p>
      <w:r>
        <w:t>6. I provide this evidence for the Court assessment of compliance and hearing directions. This sample certifies no actual publication or service and cannot be sworn without completing it from genuine steps and records.</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Separate procedural evidence aid. In the source petition Gazette and two newspaper notices were reported; their exact historical dates are not a universal notice timetable. No original service affidavit is supplied.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trader petitioned for his own bankruptcy after a dispute over six repaired lorries and a demand for Kshs 6.2 million. Illness prevented work and further treatment required borrowing. The petition was supported by an affidavit and public notices; creditors did not oppose it.</w:t>
      </w:r>
    </w:p>
    <w:p>
      <w:r>
        <w:t>The Court adjudged the petitioner bankrupt and appointed the Official Receiver or a nominee as bankruptcy trustee. It found inability to pay the debts on the evidence and notices. The judgment did not grant an immediate discharge from every debt or an unrestricted licence to deal with estate property.</w:t>
      </w:r>
    </w:p>
    <w:p>
      <w:r>
        <w:t>Personal bankruptcy is governed by Part III of the Insolvency Act and the applicable Regulations, not company-liquidation forms. Complete assets, liabilities, creditors, security and income disclosure is necessary. Illness must be supported by genuine evidence; non-opposition does not excuse inaccurate disclosure. A bankruptcy order, appointment of trustee, treatment of particular assets or debts and later discharge are different questions.</w:t>
      </w:r>
    </w:p>
    <w:p>
      <w:r>
        <w:t>[2026] KEHC 4326 (KLR) - 5 March 2026. Source decision: https://sheriahub.com/cases/ke/caselaw/in-re-mutura-2026-kehc-4326-klr</w:t>
      </w:r>
    </w:p>
    <w:p>
      <w:r>
        <w:t>Reproduced primary text checked: https://sheriahub.com/cases/ke/caselaw/in-re-mutura-2026-kehc-4326-klr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Debtor Bankruptcy Notices — Affidavit of Actual Publication and Service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