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Controlled Tenancy Appeal Record and Order Comparison</w:t>
      </w:r>
    </w:p>
    <w:p>
      <w:r>
        <w:t>Educational sample 339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APPEAL NO [reference]</w:t>
      </w:r>
    </w:p>
    <w:p>
      <w:r>
        <w:t>[LANDLORD APPELLANT] v [TENANT RESPONDENT]</w:t>
      </w:r>
    </w:p>
    <w:p>
      <w:r>
        <w:t>EVIDENCE OR COMPUTATION SCHEDULE</w:t>
      </w:r>
    </w:p>
    <w:p>
      <w:r>
        <w:t>1. The appeal record index identifies the tenancy agreement, Tribunal pleadings, service records, impugned ruling, extracted order and grounds of appeal with actual pages. The tenancy length and termination clause are recorded from the signed document, separately from party submissions.</w:t>
      </w:r>
    </w:p>
    <w:p>
      <w:r>
        <w:t>2. The reported judgment contains differing eviction dates and tenancy descriptions. Enter each source statement and its status, then compare it with the authentic lower-court record. Do not select a convenient date or period and present it as undisputed merely to support jurisdiction.</w:t>
      </w:r>
    </w:p>
    <w:p>
      <w:r>
        <w:t>3. For parallel litigation, record parties, issues, filing dates, current status and final orders. Res judicata concerns a finally decided issue; a pending suit raises a different inquiry. A proved withdrawal of an interim motion must be recorded with its effect and date.</w:t>
      </w:r>
    </w:p>
    <w:p>
      <w:r>
        <w:t>4. For the deceased director, separate the individual death certificate, company registry status, authority of current officers and the actual named litigants. Do not equate a corporate signatory death with automatic death of the company or abatement of the company appeal.</w:t>
      </w:r>
    </w:p>
    <w:p>
      <w:r>
        <w:t>5. For the final disposition compare paragraph 47, contradictory paragraph 49 wording and operative orders 49(a)–(c). Obtain the certified decree or clarification before enforcement. The schedule is an appellate-record aid and does not insert new factual evidence without lawful permission.</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landlord appealed the Mombasa BPRT reinstatement and occupation orders concerning commercial shops in Diani. The record discussed a short written tenancy, disputed arrears and prior eviction, another Kwale suit and the death of a director. The appeal was heard in Mombasa.</w:t>
      </w:r>
    </w:p>
    <w:p>
      <w:r>
        <w:t>Despite a metadata dismissal label and contradictory sentence in paragraph 49, paragraph 47 and operative order 49(a) partially allow the appeal on the listed tenancy grounds and order 49(c) awards appeal costs to the appellant. The certified decree is needed before acting on the ambiguous substitution wording.</w:t>
      </w:r>
    </w:p>
    <w:p>
      <w:r>
        <w:t>Cap 301 controlled-tenancy termination procedure is distinct from self-help eviction. An ongoing suit is not automatically res judicata; corporate-director death does not automatically establish abatement. The text gives differing tenancy and eviction descriptions. The specimens identify the dispute instead of presenting one inconsistent date as established.</w:t>
      </w:r>
    </w:p>
    <w:p>
      <w:r>
        <w:t>[2025] KEELC 289 (KLR) - 31 January 2025. Source decision: https://sheriahub.com/cases/ke/caselaw/ess-pee-ess-investment-v-deegisat-tv-service-limited-applying-as-legal-administrators-of-the-estate-of-the-late-oloo-agoro-oloo-2025-keelc-289-klr</w:t>
      </w:r>
    </w:p>
    <w:p>
      <w:r>
        <w:t>Reproduced primary text checked: https://sheriahub.com/cases/ke/caselaw/ess-pee-ess-investment-v-deegisat-tv-service-limited-applying-as-legal-administrators-of-the-estate-of-the-late-oloo-agoro-oloo-2025-keelc-289-klr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Controlled Tenancy Appeal Record and Order Comparison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