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Planning Committee and Public Participation Evidence Schedule</w:t>
      </w:r>
    </w:p>
    <w:p>
      <w:r>
        <w:t>Educational sample 333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CONSTITUTIONAL PETITION NO [reference]</w:t>
      </w:r>
    </w:p>
    <w:p>
      <w:r>
        <w:t>[RESIDENT PETITIONERS] v [COUNTY RESPONDENTS]</w:t>
      </w:r>
    </w:p>
    <w:p>
      <w:r>
        <w:t>EVIDENCE OR COMPUTATION SCHEDULE</w:t>
      </w:r>
    </w:p>
    <w:p>
      <w:r>
        <w:t>1. This schedule groups the evidence by alleged institutional omission: committee establishment, public planning framework, stakeholder information and individual development decisions. Each entry identifies its author, date, custodian, relevance, authenticating witness and actual bundle page.</w:t>
      </w:r>
    </w:p>
    <w:p>
      <w:r>
        <w:t>2. For committee establishment include official appointment notices, committee membership and operational information, enquiries and responses. Mark unknown or disputed dates expressly. A historic judicial finding does not prove that a committee remains absent at the date of a later application.</w:t>
      </w:r>
    </w:p>
    <w:p>
      <w:r>
        <w:t>3. For public participation include invitations, attendance, accessible materials, submissions received and the response to those submissions. The strategic urban plan, legislation and administrative approvals are separate documents. Do not label a policy automatically as enacted county legislation.</w:t>
      </w:r>
    </w:p>
    <w:p>
      <w:r>
        <w:t>4. For individual project impacts identify the permit, affected site and alleged requirement, with the relevant expert explanation of photographs, maps and infrastructure evidence. General photographs without a demonstrated connection to a particular constitutional harm are marked insufficient.</w:t>
      </w:r>
    </w:p>
    <w:p>
      <w:r>
        <w:t>5. The source orders used 180, 90 and 45 days from delivery for different obligations. Enter the certified delivery date, each operative requirement, actual subsequent records and any variation. This evidential schedule is not a contempt application or proof that a historical deadline remains enforceable unchanged.</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Fifteen residents challenged county development regulation, high-rise impacts and the absence of the statutory planning liaison committee. Photographs and a map did not sufficiently prove the particular approval, privacy, water, sewer and road violations alleged.</w:t>
      </w:r>
    </w:p>
    <w:p>
      <w:r>
        <w:t>The petition partly succeeded. The Court ordered a development framework within 180 days, a liaison committee within 90 days and public sensitisation on the 2015–2035 strategic urban plan within 45 days. The construction authority was struck out as improperly joined and each party bore its costs.</w:t>
      </w:r>
    </w:p>
    <w:p>
      <w:r>
        <w:t>The Court relied on Articles 10, 42, 47, 48, 50, 69 and 70. The judgment cites PLUPA sections 72–73, but the Act places county committee establishment, composition and functions in sections 76–78; that source numbering is not copied into the specimens. Individual development-approval challenges require the appropriate statutory remedy and precise evidence. The decision does not cancel all permits or establish present non-compliance with its historical deadlines.</w:t>
      </w:r>
    </w:p>
    <w:p>
      <w:r>
        <w:t>[2025] KEELC 824 (KLR) - 21 February 2025. Source decision: https://sheriahub.com/cases/ke/caselaw/vaitha-14-others-v-county-government-of-mombasa-3-others-2025-keelc-824-klr</w:t>
      </w:r>
    </w:p>
    <w:p>
      <w:r>
        <w:t>Reproduced primary text checked: https://sheriahub.com/cases/ke/caselaw/vaitha-14-others-v-county-government-of-mombasa-3-others-2025-keelc-824-klr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Committee and Public Participation Evidence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