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 Pesa Transfer and Claimed Loan Balance Schedule</w:t>
      </w:r>
    </w:p>
    <w:p>
      <w:r>
        <w:t>Educational sample 369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SMALL CLAIMS COURT AT MOMBASA</w:t>
      </w:r>
    </w:p>
    <w:p>
      <w:r>
        <w:t>SMALL CLAIMS COMMERCIAL CASE NO [reference]</w:t>
      </w:r>
    </w:p>
    <w:p>
      <w:r>
        <w:t>[LENDER CLAIMANT] v [RECIPIENT RESPONDENT]</w:t>
      </w:r>
    </w:p>
    <w:p>
      <w:r>
        <w:t>EVIDENCE OR COMPUTATION SCHEDULE</w:t>
      </w:r>
    </w:p>
    <w:p>
      <w:r>
        <w:t>1. For every transfer enter the actual date, amount, recipient and private transaction reference with its statement page. Public identifiers remain bracketed. Exclude duplicate screenshots and reversals, and link each item to the alleged loan purpose and supporting communications.</w:t>
      </w:r>
    </w:p>
    <w:p>
      <w:r>
        <w:t>2. The reported verified transfer total was KES 74,400 compared with the pleaded KES 76,000, a difference of KES 1,600. Identify any authentic proof of that difference or mark it unproved. Do not distribute the difference among fictional cash payments or fees.</w:t>
      </w:r>
    </w:p>
    <w:p>
      <w:r>
        <w:t>3. List all repayments, refunds and credits with dates and proof of receipt. The proposed principal balance equals proved advances less genuine credits. The source KES 74,400 result applies to its record and does not establish the balance of another event dispute.</w:t>
      </w:r>
    </w:p>
    <w:p>
      <w:r>
        <w:t>4. For the joint-venture assertion index the actual agreement, roles, profit or loss terms, event date and venue, communications and vendor records. Vendor vouchers in one party name are identified accurately and not described as a joint agreement without supporting proof.</w:t>
      </w:r>
    </w:p>
    <w:p>
      <w:r>
        <w:t>5. Interest and costs are separate from principal. The source awarded court-rate interest from filing and KES 5,000 costs. Enter the authentic filing date and applicable order before calculating. This schedule is an evidential aid, not a substitute for the prescribed claim form or transaction records.</w:t>
      </w:r>
    </w:p>
    <w:p>
      <w:r>
        <w:t>DATED at [place] on [date]. Signed [party or advocate]. DRAWN AND FILED BY [name and address for service]. TO BE SERVED UPON [each affected person and address].</w:t>
      </w:r>
    </w:p>
    <w:p>
      <w:r>
        <w:br w:type="page"/>
      </w:r>
    </w:p>
    <w:p>
      <w:pPr>
        <w:pStyle w:val="Heading1"/>
      </w:pPr>
      <w:r>
        <w:t>Use and evidence notes</w:t>
      </w:r>
    </w:p>
    <w:p>
      <w:r>
        <w:t>This is an evidential or accounting aid, not an originating process or independent proof. Give dates, authors or custodians, admissibility status, actual document pages and transparent calculations. Label missing and disputed items. Obtain the applicable leave or directions for supplementary evidence, serve it and prevent duplicate credits or recovery.</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The claimant sought KES 76,000 as a repayable advance for a music event. The respondent alleged joint-venture funding rather than a loan. M-Pesa records established KES 74,400; vendor vouchers and unsupported event assertions did not establish the joint venture on that record.</w:t>
      </w:r>
    </w:p>
    <w:p>
      <w:r>
        <w:t>The Mombasa Small Claims Court awarded KES 74,400, interest at court rates from filing and KES 5,000 costs. The larger KES 76,000 demand was not fully proved. The decision applied the Court flexible evidence provisions to the available transactions.</w:t>
      </w:r>
    </w:p>
    <w:p>
      <w:r>
        <w:t>Small Claims Court Act sections 3(3)(d) and 32 informed evidential flexibility; this does not create a universal exemption from electronic-evidence requirements in other courts. The claimant must prove the loan and amount, while a joint-venture allegation needs evidence of the agreed arrangement. Do not publish participants telephone numbers or transaction identifiers.</w:t>
      </w:r>
    </w:p>
    <w:p>
      <w:r>
        <w:t>[2026] SCC 124 (KLR) - 4 May 2026. Source decision: https://sheriahub.com/cases/ke/caselaw/oketch-v-oketch-2026-scc-124-klr</w:t>
      </w:r>
    </w:p>
    <w:p>
      <w:r>
        <w:t>Reproduced primary text checked: https://sheriahub.com/cases/ke/caselaw/oketch-v-oketch-2026-scc-124-klr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 Pesa Transfer and Claimed Loan Balance Schedule</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