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Succession Title Orders and Review Chronology Schedule</w:t>
      </w:r>
    </w:p>
    <w:p>
      <w:r>
        <w:t>Educational sample 344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EVIDENCE OR COMPUTATION SCHEDULE</w:t>
      </w:r>
    </w:p>
    <w:p>
      <w:r>
        <w:t>1. Index the original grant, challenged succession ruling, extracted orders and affected titles separately. For each title-related order identify its exact paragraph, parcel, person affected and direction to the registrar. Do not merge revocation of representation with cancellation of land registration.</w:t>
      </w:r>
    </w:p>
    <w:p>
      <w:r>
        <w:t>2. Enter the registration history using certified parent and subdivision records: [actual instrument and date]. Record purchase evidence, any restriction and current search status. An asserted purchase date is not substituted for the registry entry or used to resolve a contested root of title.</w:t>
      </w:r>
    </w:p>
    <w:p>
      <w:r>
        <w:t>3. Enter the Applicant actual knowledge date, document requests, review filing and service on each affected person. The published judgment contains chronological inconsistencies; preserve them as source discrepancies and obtain certified records instead of manufacturing a corrected sequence.</w:t>
      </w:r>
    </w:p>
    <w:p>
      <w:r>
        <w:t>4. Record each appeal or related proceeding, the exact decision challenged, filing status and orders. A notice of appeal alone and an appeal actually preferred are different entries. The legal effect is assessed against the applicable review rule and actual record.</w:t>
      </w:r>
    </w:p>
    <w:p>
      <w:r>
        <w:t>5. Separate the source result into title-related directions set aside, grant revocation left standing and ownership unresolved. Costs were borne by each party. This schedule is an evidential aid and supplies neither a certified order nor proof of lawful ownership.</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third-party purchaser sought review of a 27 May 2022 succession ruling that revoked a grant and directed cancellation of resulting land titles. The purchaser asserted registered interests in two subdivisions and lack of a hearing before those title-related orders.</w:t>
      </w:r>
    </w:p>
    <w:p>
      <w:r>
        <w:t>Review succeeded only to the extent of the title-revocation orders and associated Land Registrar service direction. The grant revocation was not reversed, ownership was not finally determined and parties were left to the competent forum. Each party bore its costs.</w:t>
      </w:r>
    </w:p>
    <w:p>
      <w:r>
        <w:t>Review under the probate procedure and imported review power must be distinguished from appeal and a land-title trial. The reported text includes inconsistent dates; verify the certified 2022 ruling, application and extracted orders. Lack of a hearing supports only the properly established review relief, not automatic restoration of the grant or proof of a valid purchase.</w:t>
      </w:r>
    </w:p>
    <w:p>
      <w:r>
        <w:t>[2025] KEHC 5180 (KLR) - 11 April 2025. Source decision: https://sheriahub.com/cases/ke/caselaw/in-re-estate-of-ali-karisa-wanguma-aka-ali-mohamed-deceased-2025-kehc-5180-klr</w:t>
      </w:r>
    </w:p>
    <w:p>
      <w:r>
        <w:t>Reproduced primary text checked: https://sheriahub.com/cases/ke/caselaw/in-re-estate-of-ali-karisa-wanguma-aka-ali-mohamed-deceased-2025-kehc-5180-klr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Succession Title Orders and Review Chronology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