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Record Schedule for a Child Maintenance Appeal and Parental Means</w:t>
      </w:r>
    </w:p>
    <w:p>
      <w:r>
        <w:t>Educational sample 374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APPEAL NO [reference]</w:t>
      </w:r>
    </w:p>
    <w:p>
      <w:r>
        <w:t>[APPELLANT] v [RESPONDENT]</w:t>
      </w:r>
    </w:p>
    <w:p>
      <w:r>
        <w:t>EVIDENCE OR COMPUTATION SCHEDULE</w:t>
      </w:r>
    </w:p>
    <w:p>
      <w:r>
        <w:t>1. This schedule identifies admitted record material relevant to maintenance apportionment. Enter the lower-court case, judgment date and certified record pages. It is an index to existing evidence, not a new affidavit about either parent financial circumstances or a substitute for a proper application to admit additional evidence.</w:t>
      </w:r>
    </w:p>
    <w:p>
      <w:r>
        <w:t>2. PART A — CHILD NEEDS: identify the pleaded upkeep, medical, housing and education items; the documentary basis and witness; the period to which each relates; and whether the amount was admitted, disputed or ordered. Replace the child name, school and address with protected reference fields in public copies.</w:t>
      </w:r>
    </w:p>
    <w:p>
      <w:r>
        <w:t>3. PART B — PARENTAL MEANS: record each parent income and resources only to the extent established in the trial record. Identify source date, author, admissibility and page. Record caregiving, accommodation and other non-monetary contributions separately from cash contributions.</w:t>
      </w:r>
    </w:p>
    <w:p>
      <w:r>
        <w:t>4. PART C — ADULT ITEMS: list the adult resettlement, rent-arrears and belongings orders separately. Record which were challenged, the exact grounds and the appellate disposition. Do not relabel the adult property controversy as a proved child-maintenance item.</w:t>
      </w:r>
    </w:p>
    <w:p>
      <w:r>
        <w:t>5. PART D — ORDERS: distinguish KES 50,000 monthly maintenance retained, education and custody retained, and adult orders set aside. Note the difference between the opening summary of shelter and the explicit monthly resettlement description in the operative appellate paragraph.</w:t>
      </w:r>
    </w:p>
    <w:p>
      <w:r>
        <w:t>6. Use the completed schedule to locate genuine evidence for submissions. Mark absent records as missing, rather than estimate income or expenses. Update only from certified orders and admitted material, and preserve the child anonymity when exchanging or publishing any extract.</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parent appealed a children-case judgment requiring monthly upkeep, education, resettlement, rent arrears and household items. The parties disputed relocation and ownership of the adult belongings. The father accepted KES 50,000 monthly child upkeep but sought equal sharing of education expenses. The mother relied on the child welfare and the parents differing financial means.</w:t>
      </w:r>
    </w:p>
    <w:p>
      <w:r>
        <w:t>The High Court set aside KES 35,000 monthly resettlement for one year, adult rent arrears and household-item orders. It retained KES 50,000 monthly maintenance, ordered outstanding maintenance paid forthwith, and upheld education and custody orders. Each party bore their own costs. Equal parental responsibility did not require identical monetary contributions.</w:t>
      </w:r>
    </w:p>
    <w:p>
      <w:r>
        <w:t>Apply Constitution article 53 and Children Act 2022 sections 8 and 32. Distinguish child welfare from adult property claims, pleaded relief from an omnibus prayer, and parental means from automatic fifty-fifty contribution. Paragraph 1 describes shelter ambiguously; the operative paragraph 55 specifies the resettlement amount per month. Check the certified order. No new child identity or financial evidence is invented.</w:t>
      </w:r>
    </w:p>
    <w:p>
      <w:r>
        <w:t>[2025] KEHC 13064 (KLR) - 19 September 2025. Source decision: https://sheriahub.com/cases/ke/caselaw/hdws-v-can-2025-kehc-13064-klr</w:t>
      </w:r>
    </w:p>
    <w:p>
      <w:r>
        <w:t>Reproduced primary text checked: https://sheriahub.com/cases/ke/caselaw/hdws-v-can-2025-kehc-13064-klr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Schedule for a Child Maintenance Appeal and Parental Means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