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on Non Exclusive Distribution Terms and Interim Relief</w:t>
      </w:r>
    </w:p>
    <w:p>
      <w:r>
        <w:t>Educational sample 125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Respondents submit that the underlying allocation terms and goodwill arrangements require a merits hearing. They identify the provisions relied on and the route letters rather than treat every payment as an adjudicated proprietary entitlement.</w:t>
      </w:r>
    </w:p>
    <w:p>
      <w:r>
        <w:t>2. A contractual arbitration argument should be framed within the actual agreement and parties. It must answer the Appellant’s objections concerning constitutional questions and third parties.</w:t>
      </w:r>
    </w:p>
    <w:p>
      <w:r>
        <w:t>3. Interim protection should have identifiable boundaries. The Court should distinguish preserving existing arrangements from granting the whole substantive commercial claim before trial.</w:t>
      </w:r>
    </w:p>
    <w:p>
      <w:r>
        <w:t>4. The alleged disobedience must be addressed independently of the contractual merits. The Respondents cannot justify ignoring an operative order solely by contending that the original claim should fail.</w:t>
      </w:r>
    </w:p>
    <w:p>
      <w:r>
        <w:t>5. If protective orders are restored, the Respondents seek an expedited High Court hearing with an opportunity to answer the amended petition and the specific disobedience application. The source did not finally decide refund liability.</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A distributor paid KES 27,300,000 goodwill for allocated territories and disputed repossession and reallocation of routes. The High Court granted conservatory protection; the Court of Appeal set it aside and directed arbitration. The Supreme Court addressed constitutional jurisdiction, third parties and disobedience of the court order.</w:t>
      </w:r>
    </w:p>
    <w:p>
      <w:r>
        <w:t>The Supreme Court allowed the appeal, restored the High Court orders and remitted the amended petition for hearing. The High Court was to consider the consequences of disobedience. Costs in the appellate courts were awarded against the first two respondents. The Court did not award a final goodwill refund or fix contempt punishment.</w:t>
      </w:r>
    </w:p>
    <w:p>
      <w:r>
        <w:t>Constitution Articles 27, 36, 40 and 163(4)(a); distinction between public law conservatory relief and private interlocutory injunctions; limits of an arbitration clause affecting third parties. Final liability and quantum remained for the High Court.</w:t>
      </w:r>
    </w:p>
    <w:p>
      <w:r>
        <w:t>[2023] KESC 14 (KLR) — 17 February 2023. Original judgment: https://supremecourt.judiciary.go.ke/wp-content/uploads/2025/01/Supreme-Court-Law-Reports-2023-Vol-1.pdf#page=480</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on Non Exclusive Distribution Terms and Interim Relief</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