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for a Poor Performance Dismissal Claim</w:t>
      </w:r>
    </w:p>
    <w:p>
      <w:r>
        <w:t>Educational sample 158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EVIDENCE OR COMPUTATION SCHEDULE</w:t>
      </w:r>
    </w:p>
    <w:p>
      <w:r>
        <w:t>1. Item 1: Initial appointment and confirmation letters, [dates and pages], establishing the original duties and employment terms. Item 2: Each transfer or role-change letter in chronological order, [pages], identifying when the duties changed.</w:t>
      </w:r>
    </w:p>
    <w:p>
      <w:r>
        <w:t>2. Item 3: Written revised job descriptions, communicated targets and acknowledged performance agreements, if they actually exist. Record the relevant role and assessment period for each. Where no such record is available, state that accurately rather than creating a replacement.</w:t>
      </w:r>
    </w:p>
    <w:p>
      <w:r>
        <w:t>3. Item 4: Minutes of the 10 and 24 March review meetings and the corresponding emails, [pages]. Item 5: Actual scorecards, deposit reports and commendation records, [pages], distinguishing measured results from opinions about performance.</w:t>
      </w:r>
    </w:p>
    <w:p>
      <w:r>
        <w:t>4. Item 6: Show-cause notice, response, hearing invitation, representation notice, minutes and appeal record, where present. Identify missing records explicitly. Item 7: The termination letter and proof of receipt, followed by final payslips and payment records.</w:t>
      </w:r>
    </w:p>
    <w:p>
      <w:r>
        <w:t>5. For every item provide date, author, description, page range and intended authenticating witness. File the chronological paginated copies and serve the other party under the applicable rules and directions. Listing a document does not itself admit it in evidence.</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bank employee moved through several roles after an initial 2013 appointment. A January 2017 letter changed his role effective 6 February. Performance was reviewed on 10 and 24 March and employment ended in April for continued underperformance. The bank did not produce updated job descriptions, key performance indicators or an actual scorecard. Its HR witness acknowledged no show-cause letter or disciplinary hearing. The exit salary was KSh 145,000.</w:t>
      </w:r>
    </w:p>
    <w:p>
      <w:r>
        <w:t>The Court found both substantive and procedural unfairness and awarded nine months of salary, KSh 1,305,000, subject to PAYE, with costs and interest from judgment. Severance was refused because dismissal was not redundancy. KSh 43.5 million for twenty-five future years was refused. The reported reproduction carries a DRAFT watermark but includes dated final orders and online delivery; obtain a signed court copy before procedural reliance.</w:t>
      </w:r>
    </w:p>
    <w:p>
      <w:r>
        <w:t>Employment Act section 10 requires written employment particulars and revision when they change; sections 41, 43 and 45 govern fair termination. A review meeting is not automatically a section 41 hearing. Sections 49 and 90 govern remedies and limitation. This historical claim cannot be revived by copying a sample. Use the ELRC Procedure Rules as amended in 2025 and authenticate the final judgment.</w:t>
      </w:r>
    </w:p>
    <w:p>
      <w:r>
        <w:t>[2026] KEELRC 938 (KLR) — 17 April 2026. Original judgment: https://sheriahub.com/cases/ke/caselaw/kiriga-v-family-bank-limited-2026-keelrc-938-klr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 for a Poor Performance Dismissal Claim</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