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Employer Appeal Submissions on Hearing Admissions and Absent CCTV</w:t>
      </w:r>
    </w:p>
    <w:p>
      <w:r>
        <w:t>Educational sample 445 | Eldoret</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ELDORET</w:t>
      </w:r>
    </w:p>
    <w:p>
      <w:r>
        <w:t>EMPLOYMENT AND LABOUR RELATIONS APPEAL NO [reference]</w:t>
      </w:r>
    </w:p>
    <w:p>
      <w:r>
        <w:t>[EMPLOYEE APPELLANT] v [EMPLOYER RESPONDENT]</w:t>
      </w:r>
    </w:p>
    <w:p>
      <w:r>
        <w:t>WRITTEN SUBMISSIONS</w:t>
      </w:r>
    </w:p>
    <w:p>
      <w:r>
        <w:t>1. The respondent seeks dismissal of the appeal on the admitted employment record. The substantive reason and disciplinary process are examined separately. The relevant written explanations and operating instructions at [pages] support the decision independently of CCTV that was not produced.</w:t>
      </w:r>
    </w:p>
    <w:p>
      <w:r>
        <w:t>2. The claimant own response addressed her position at the pump and the nozzle conduct. The Court must assess that explanation with the other employee accounts, rather than assume absent video eliminates every factual foundation for the alleged misconduct.</w:t>
      </w:r>
    </w:p>
    <w:p>
      <w:r>
        <w:t>3. On procedure, the actual invitation, hearing minutes and trial admissions concerning attendance and a colleague are identified at [pages]. Section 41 requires an opportunity to understand and answer the allegations. The respondent relies on the opportunity shown, not a general proposition that substantive justification cures noncompliance.</w:t>
      </w:r>
    </w:p>
    <w:p>
      <w:r>
        <w:t>4. Conflicting dates and years in the reproduction are checked against the authentic record. A source transcription discrepancy is not treated as proof that a hearing did or did not occur. The specific challenge is answered on the actual evidence.</w:t>
      </w:r>
    </w:p>
    <w:p>
      <w:r>
        <w:t>5. The requested payments require distinct legal foundations. Remaining fixed-term salary is not automatic, severance concerns redundancy, leave requires proof and unfair-dismissal compensation depends on the established statutory findings. Genuine accrued sums and payments are considered separately.</w:t>
      </w:r>
    </w:p>
    <w:p>
      <w:r>
        <w:t>6. The respondent requests dismissal of unsupported grounds and the appropriate costs order, while issuing the certificate of service if still due. The source Court upheld dismissal, refused the monetary heads and left each party with own appeal costs. No broader approval of all disciplinary practices is claimed.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station manager on a three-year contract challenged summary dismissal after alleged concealment of fuel-pump readings. She disputed the disciplinary hearing. The employer relied on written explanations, hearing minutes and trial admissions. CCTV was not produced. The reproduction contains conflicting hearing dates and years, requiring original-file checks.</w:t>
      </w:r>
    </w:p>
    <w:p>
      <w:r>
        <w:t>Eldoret ELRC upheld the designated magistrate judgment and dismissed the appeal. It relied on the explanations and hearing record despite absent CCTV. Remaining-term salary, compensation, severance, unsupported leave and notice claims failed. A certificate of service remained due if not already issued. Each party bore own appeal costs.</w:t>
      </w:r>
    </w:p>
    <w:p>
      <w:r>
        <w:t>Assess reason and section 41 procedure separately under sections 43, 45 and 47(5). Absence of CCTV does not erase other evidence. Fixed-term balance is not automatically recoverable and severance is distinct from summary dismissal. Trial samples use Eldoret designated magistrate jurisdiction; appeal samples use ELRC. Check section 90 and authentic dates; the historic facts do not authorise a new stale claim.</w:t>
      </w:r>
    </w:p>
    <w:p>
      <w:r>
        <w:t>[2026] KEELRC 470 (KLR) - 19 February 2026. Source decision: https://sheriahub.com/cases/ke/caselaw/kigen-v-stabex-international-limited-2026-keelrc-470-klr</w:t>
      </w:r>
    </w:p>
    <w:p>
      <w:r>
        <w:t>Reproduced primary text checked: https://sheriahub.com/cases/ke/caselaw/kigen-v-stabex-international-limited-2026-keelrc-470-klr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Appeal Submissions on Hearing Admissions and Absent CCTV</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