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School Tenant Witness Statement on Permission and Reversed Rent Payments</w:t>
      </w:r>
    </w:p>
    <w:p>
      <w:r>
        <w:t>Educational sample 403 | Mariakani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PRINCIPAL MAGISTRATES COURT AT MARIAKANI</w:t>
      </w:r>
    </w:p>
    <w:p>
      <w:r>
        <w:t>ENVIRONMENT AND LAND CASE NO [reference]</w:t>
      </w:r>
    </w:p>
    <w:p>
      <w:r>
        <w:t>[SCHOOL OPERATOR PLAINTIFF] v [LANDLORD] AND [AUCTIONEER]</w:t>
      </w:r>
    </w:p>
    <w:p>
      <w:r>
        <w:t>WITNESS STATEMENT</w:t>
      </w:r>
    </w:p>
    <w:p>
      <w:r>
        <w:t>1. I am [school operator]. I entered into the leases for [premises] and identify the copies I signed at [bundle pages]. The earlier term concerned temporary structures. I give my own account of the later discussions and conduct; I do not describe a silent later agreement as containing express permission.</w:t>
      </w:r>
    </w:p>
    <w:p>
      <w:r>
        <w:t>2. I discussed the classroom works with [persons] on [dates]. The precise words and actions I witnessed were [details]. Construction proceeded in stages at [dates]. I identify who was present and which correspondence or photographs supports the landlord knowledge alleged.</w:t>
      </w:r>
    </w:p>
    <w:p>
      <w:r>
        <w:t>3. I paid for the buildings identified at [itemised list], using the records at [pages]. The valuation was prepared by [qualified valuer] following [inspection]. I can identify my expenditure and the structures; the expert must explain valuation methodology independently.</w:t>
      </w:r>
    </w:p>
    <w:p>
      <w:r>
        <w:t>4. When school operations were interrupted, I requested accommodation concerning rent at [communication]. I identify payments made, payments returned and the months still disputed. The transaction records reflect what occurred; I do not treat a returned payment as if the landlord retained it.</w:t>
      </w:r>
    </w:p>
    <w:p>
      <w:r>
        <w:t>5. At [date] I found access blocked in the following manner [observed facts]. I distinguish what I saw from what staff later reported to me. The photographs were taken by [person] at [time] and the distress or notice documents came to me through [identified source].</w:t>
      </w:r>
    </w:p>
    <w:p>
      <w:r>
        <w:t>6. My statement supports the actual pleaded restoration and compensation issues. Student identities and private school records are excluded from this public specimen. I will rely on genuine records and identify any records missing; this draft supplies no photographs, receipts or expert report.</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witness own truthful account, distinguish observed events from named information sources and identify bundle pages and authenticating witnesses. Follow the actual trial or succession witness directions. Additional evidence and statements require any applicable leave. An appeal ordinarily uses the admitted trial record; a new statement cannot be inserted without the proper procedure.</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school tenant sought restoration or compensation for buildings after a coastal premises lockout. Written leases initially contemplated temporary structures. The tenant relied on a later agreement and the landlord conduct during permanent construction. Landlord and auctioneer disputed permission, rent and alleged subletting. The Mariakani trial included a site visit and competing valuations of KES 3.5 million and KES 1.2 million.</w:t>
      </w:r>
    </w:p>
    <w:p>
      <w:r>
        <w:t>Malindi ELC dismissed the appeal with costs. It accepted tacit contractual variation by conduct, the trial valuation assessment and wrongful termination without notice. The written leases alone did not expressly authorise permanent construction. The judgment did not establish development permission or award every pleaded loss.</w:t>
      </w:r>
    </w:p>
    <w:p>
      <w:r>
        <w:t>Use the genuine leases, conduct, notices and expert evidence together. This fact-specific decision is not general permission to build, avoid rent, omit quantified special damages or evict without due process. Trial specimens belong to Mariakani; the appellate specimens belong to Malindi ELC. The source caption and text name different appellant combinations; complete parties from the actual file.</w:t>
      </w:r>
    </w:p>
    <w:p>
      <w:r>
        <w:t>[2026] KEELC 2338 (KLR) - 23 April 2026. Source decision: https://sheriahub.com/cases/ke/caselaw/gladys-ta-trophy-auctioneers-v-abonyo-ta-ruruma-rising-star-academy-2026-keelc-2338-klr</w:t>
      </w:r>
    </w:p>
    <w:p>
      <w:r>
        <w:t>Reproduced primary text checked: https://sheriahub.com/cases/ke/caselaw/gladys-ta-trophy-auctioneers-v-abonyo-ta-ruruma-rising-star-academy-2026-keelc-2338-klr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Tenant Witness Statement on Permission and Reversed Rent Payments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