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Purchaser by Purchaser Plot and Payment Evidence Schedule</w:t>
      </w:r>
    </w:p>
    <w:p>
      <w:r>
        <w:t>Educational sample 462 | Machakos</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MACHAKOS</w:t>
      </w:r>
    </w:p>
    <w:p>
      <w:r>
        <w:t>ENVIRONMENT AND LAND CASE NO [reference]</w:t>
      </w:r>
    </w:p>
    <w:p>
      <w:r>
        <w:t>[CLAIMANT] v [RESPONDENT]</w:t>
      </w:r>
    </w:p>
    <w:p>
      <w:r>
        <w:t>EVIDENCE OR COMPUTATION SCHEDULE</w:t>
      </w:r>
    </w:p>
    <w:p>
      <w:r>
        <w:t>1. This schedule identifies each purchaser separately: [anonymous claimant code], [plot identifier and extent], [seller], [agreement date], [price], [paid amount], [outstanding amount] and [bundle pages]. Names in the actual filing must match the parties and authority documents.</w:t>
      </w:r>
    </w:p>
    <w:p>
      <w:r>
        <w:t>2. For each transfer through the co-operative, record the fresh allotment letter, transfer receipt, beacon fee, survey fee and title-processing fee by date, issuer and amount. Mark missing records as missing; do not allocate one claimant receipt to the entire group.</w:t>
      </w:r>
    </w:p>
    <w:p>
      <w:r>
        <w:t>3. Link each plot to the registered mother parcel using [approved scheme, survey record and authenticating witness]. A letter alone does not resolve the competing parcel description or establish the precise physical extent.</w:t>
      </w:r>
    </w:p>
    <w:p>
      <w:r>
        <w:t>4. Record possession and interference separately: [entry date], [observed obstruction], [photograph author] and [direct witness]. Distinguish a purchaser personal observation from events reported by the representative claimant.</w:t>
      </w:r>
    </w:p>
    <w:p>
      <w:r>
        <w:t>5. Record the co-operative acknowledgement, any unfulfilled transaction condition, related litigation and the competitor root-of-title material. Representation authority and common issues are [identified]; individual transaction proof remains necessary.</w:t>
      </w:r>
    </w:p>
    <w:p>
      <w:r>
        <w:t>6. The totals are [transparent sums and formulae], reconciled to the genuine ledger. This schedule supports the pleaded transfer and possession remedies; it is neither a title instrument nor proof of unspecified general damages.</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Fifty-seven plot purchasers relied on agreements, fresh allotment letters and payment receipts issued through the registered co-operative proprietor. A competing occupier claimed a different parcel subdivision, developed the land and counterclaimed. A survey officer could find no records for the asserted subdivision. The co-operative supported the buyers; the competitor called no evidence.</w:t>
      </w:r>
    </w:p>
    <w:p>
      <w:r>
        <w:t>The Court ordered permanent protection, vacation by the competitor within 90 days and transfer by the co-operative within 30 days, with authorised execution of documents on default. The non-existent-title cancellation prayer and unexplained general damages were refused. The competitor counterclaim was dismissed and it bore costs; the registrar and Attorney General claims were dismissed without costs.</w:t>
      </w:r>
    </w:p>
    <w:p>
      <w:r>
        <w:t>Each purchaser must connect a genuine transaction to an identified plot. An allotment or title copy cannot replace proof of lawful acquisition. Co-operative jurisdiction had been determined on the particular dispute; no blanket rule bypassing section 76 follows. Police assistance and enforcement periods require the actual order.</w:t>
      </w:r>
    </w:p>
    <w:p>
      <w:r>
        <w:t>[2025] KEELC 195 (KLR) - 22 January 2025. Source decision: https://new.kenyalaw.org/akn/ke/judgment/keelc/2025/195/eng@2025-01-22</w:t>
      </w:r>
    </w:p>
    <w:p>
      <w:r>
        <w:t>Reproduced primary text checked: https://sheriahub.com/cases/ke/caselaw/mungaru-56-others-v-kamulu-housing-cooperative-society-3-others-2025-keelc-195-klr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Purchaser-by-Purchaser Plot and Payment Evidence Schedule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