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Minor Respondent Submissions to Preserve Pain Damages Despite a Cost Proof Challenge</w:t>
      </w:r>
    </w:p>
    <w:p>
      <w:r>
        <w:t>Educational sample 499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MALINDI</w:t>
      </w:r>
    </w:p>
    <w:p>
      <w:r>
        <w:t>CIVIL APPEAL NO [reference]</w:t>
      </w:r>
    </w:p>
    <w:p>
      <w:r>
        <w:t>[APPELLANT] v [RESPONDENT]</w:t>
      </w:r>
    </w:p>
    <w:p>
      <w:r>
        <w:t>WRITTEN SUBMISSIONS</w:t>
      </w:r>
    </w:p>
    <w:p>
      <w:r>
        <w:t>1. The Respondent defends the pain-and-suffering award by reference to the proved fracture, stiffness, shortening and daily effects in the admitted trial record. The inquiry is whether the trial court made a recognised appellate error.</w:t>
      </w:r>
    </w:p>
    <w:p>
      <w:r>
        <w:t>2. The trial court considered the competing reports and the evidence supporting lasting effects. The Respondent relies on [specific reasoning and imaging pages], while fairly disclosing the specialist opinion suggesting improvement.</w:t>
      </w:r>
    </w:p>
    <w:p>
      <w:r>
        <w:t>3. Comparable awards must be evaluated against injury severity, disability and actual prognosis. An appellate court does not substitute its preferred figure merely because another case attracted a lower amount.</w:t>
      </w:r>
    </w:p>
    <w:p>
      <w:r>
        <w:t>4. Future medical expenses form a distinct evidential inquiry. The Respondent identifies the admitted proof of necessity and cost at [pages], or acknowledges the gap; new quotations cannot be introduced through these submissions.</w:t>
      </w:r>
    </w:p>
    <w:p>
      <w:r>
        <w:t>5. Any cross-request for increased compensation must satisfy the same interference test and the proper procedure. No assumed future earnings, fictional treatment plan or unadmitted expert opinion is used to fill the record.</w:t>
      </w:r>
    </w:p>
    <w:p>
      <w:r>
        <w:t>6. The Respondent requests preservation of the supported pain award and adjudication of the other heads on their evidence, with appropriate costs and protection of the minor under current directions. The source pain award survived while the cost and earning heads did not.</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child injured as a motorcycle pillion passenger on the Kilifi–Malindi road suffered a femur fracture, knee stiffness and limb shortening. The trial awarded pain damages, future treatment and diminished earning capacity. Medical witnesses disagreed on prognosis and permanent effects. Both parties challenged quantum.</w:t>
      </w:r>
    </w:p>
    <w:p>
      <w:r>
        <w:t>The High Court maintained KES 650,000 pain and suffering and the other unaffected awards, but set aside KES 198,000 future medical expenses and KES 350,000 diminished earning capacity. The main appeal partly succeeded and the cross-appeal failed; no appeal costs were ordered. Treatment costs lacked adequate supporting evidence.</w:t>
      </w:r>
    </w:p>
    <w:p>
      <w:r>
        <w:t>The appellate issue was quantum, not a fresh liability trial. General injury compensation and proof of future expense are separate inquiries. A medical report must explain expertise and the cost basis; a new quote cannot be added through submissions. The report does not identify the trial court station, so these five samples are confined to the verified Malindi appellate stage.</w:t>
      </w:r>
    </w:p>
    <w:p>
      <w:r>
        <w:t>[2025] KEHC 10373 (KLR) - 11 July 2025. Source decision: https://new.kenyalaw.org/akn/ke/judgment/kehc/2025/10373/eng@2025-07-11</w:t>
      </w:r>
    </w:p>
    <w:p>
      <w:r>
        <w:t>Reproduced primary text checked: https://sheriahub.com/cases/ke/caselaw/laria-v-hjs-minor-suing-through-her-father-and-next-friend-jsm-2025-kehc-10373-klr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Respondent Submissions to Preserve Pain Damages Despite a Cost-Proof Challenge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